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3171" w:rsidRPr="005C7597" w:rsidRDefault="00983171" w:rsidP="00983171">
      <w:pPr>
        <w:tabs>
          <w:tab w:val="center" w:pos="4536"/>
          <w:tab w:val="right" w:pos="8280"/>
          <w:tab w:val="right" w:pos="9639"/>
        </w:tabs>
        <w:spacing w:line="276" w:lineRule="auto"/>
        <w:ind w:right="2"/>
        <w:rPr>
          <w:rFonts w:ascii="Arial" w:eastAsia="바탕" w:hAnsi="Arial" w:cs="Arial"/>
          <w:b/>
          <w:bCs/>
          <w:sz w:val="24"/>
        </w:rPr>
      </w:pPr>
      <w:r w:rsidRPr="005C7597">
        <w:rPr>
          <w:rFonts w:ascii="Arial" w:hAnsi="Arial" w:cs="Arial"/>
          <w:b/>
          <w:bCs/>
          <w:sz w:val="24"/>
        </w:rPr>
        <w:t>3GPP TSG RAN WG1</w:t>
      </w:r>
      <w:r>
        <w:rPr>
          <w:rFonts w:ascii="Arial" w:hAnsi="Arial" w:cs="Arial"/>
          <w:b/>
          <w:bCs/>
          <w:sz w:val="24"/>
        </w:rPr>
        <w:t>#111</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F22D9E">
        <w:rPr>
          <w:rFonts w:ascii="Arial" w:hAnsi="Arial" w:cs="Arial"/>
          <w:b/>
          <w:bCs/>
          <w:sz w:val="24"/>
        </w:rPr>
        <w:t>R1-22</w:t>
      </w:r>
      <w:r>
        <w:rPr>
          <w:rFonts w:ascii="Arial" w:hAnsi="Arial" w:cs="Arial"/>
          <w:b/>
          <w:bCs/>
          <w:sz w:val="24"/>
        </w:rPr>
        <w:t>12033</w:t>
      </w:r>
    </w:p>
    <w:p w:rsidR="00983171" w:rsidRDefault="00983171" w:rsidP="00983171">
      <w:pPr>
        <w:tabs>
          <w:tab w:val="center" w:pos="4536"/>
          <w:tab w:val="right" w:pos="9072"/>
        </w:tabs>
        <w:spacing w:line="276" w:lineRule="auto"/>
        <w:rPr>
          <w:rFonts w:ascii="Arial" w:eastAsia="MS Mincho" w:hAnsi="Arial" w:cs="Arial"/>
          <w:b/>
          <w:bCs/>
          <w:sz w:val="24"/>
          <w:lang w:eastAsia="ja-JP"/>
        </w:rPr>
      </w:pPr>
      <w:r w:rsidRPr="00D25981">
        <w:rPr>
          <w:rFonts w:ascii="Arial" w:eastAsia="MS Mincho" w:hAnsi="Arial" w:cs="Arial"/>
          <w:b/>
          <w:bCs/>
          <w:sz w:val="24"/>
          <w:lang w:eastAsia="ja-JP"/>
        </w:rPr>
        <w:t>Toulouse, France,</w:t>
      </w:r>
      <w:r w:rsidRPr="008D31A3">
        <w:rPr>
          <w:rFonts w:ascii="Arial" w:eastAsia="MS Mincho" w:hAnsi="Arial" w:cs="Arial"/>
          <w:b/>
          <w:bCs/>
          <w:sz w:val="24"/>
          <w:lang w:eastAsia="ja-JP"/>
        </w:rPr>
        <w:t xml:space="preserve"> </w:t>
      </w:r>
      <w:r>
        <w:rPr>
          <w:rFonts w:ascii="Arial" w:eastAsia="MS Mincho" w:hAnsi="Arial" w:cs="Arial"/>
          <w:b/>
          <w:bCs/>
          <w:sz w:val="24"/>
          <w:lang w:eastAsia="ja-JP"/>
        </w:rPr>
        <w:t>November</w:t>
      </w:r>
      <w:r w:rsidRPr="008D31A3">
        <w:rPr>
          <w:rFonts w:ascii="Arial" w:eastAsia="MS Mincho" w:hAnsi="Arial" w:cs="Arial"/>
          <w:b/>
          <w:bCs/>
          <w:sz w:val="24"/>
          <w:lang w:eastAsia="ja-JP"/>
        </w:rPr>
        <w:t xml:space="preserve"> </w:t>
      </w:r>
      <w:r>
        <w:rPr>
          <w:rFonts w:ascii="Arial" w:eastAsia="MS Mincho" w:hAnsi="Arial" w:cs="Arial"/>
          <w:b/>
          <w:bCs/>
          <w:sz w:val="24"/>
          <w:lang w:eastAsia="ja-JP"/>
        </w:rPr>
        <w:t>14</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xml:space="preserve"> –</w:t>
      </w:r>
      <w:r>
        <w:rPr>
          <w:rFonts w:ascii="Arial" w:eastAsia="MS Mincho" w:hAnsi="Arial" w:cs="Arial"/>
          <w:b/>
          <w:bCs/>
          <w:sz w:val="24"/>
          <w:lang w:eastAsia="ja-JP"/>
        </w:rPr>
        <w:t>18</w:t>
      </w:r>
      <w:r>
        <w:rPr>
          <w:rFonts w:ascii="Arial" w:eastAsia="MS Mincho" w:hAnsi="Arial" w:cs="Arial"/>
          <w:b/>
          <w:bCs/>
          <w:sz w:val="24"/>
          <w:vertAlign w:val="superscript"/>
          <w:lang w:eastAsia="ja-JP"/>
        </w:rPr>
        <w:t>th</w:t>
      </w:r>
      <w:r w:rsidRPr="008D31A3">
        <w:rPr>
          <w:rFonts w:ascii="Arial" w:eastAsia="MS Mincho" w:hAnsi="Arial" w:cs="Arial"/>
          <w:b/>
          <w:bCs/>
          <w:sz w:val="24"/>
          <w:lang w:eastAsia="ja-JP"/>
        </w:rPr>
        <w:t>, 202</w:t>
      </w:r>
      <w:r>
        <w:rPr>
          <w:rFonts w:ascii="Arial" w:eastAsia="MS Mincho" w:hAnsi="Arial" w:cs="Arial"/>
          <w:b/>
          <w:bCs/>
          <w:sz w:val="24"/>
          <w:lang w:eastAsia="ja-JP"/>
        </w:rPr>
        <w:t>2</w:t>
      </w:r>
    </w:p>
    <w:p w:rsidR="00983171" w:rsidRPr="00082D37" w:rsidRDefault="00983171" w:rsidP="00983171">
      <w:pPr>
        <w:tabs>
          <w:tab w:val="center" w:pos="4536"/>
          <w:tab w:val="right" w:pos="9072"/>
        </w:tabs>
        <w:spacing w:line="276" w:lineRule="auto"/>
        <w:rPr>
          <w:rFonts w:ascii="Arial" w:hAnsi="Arial" w:cs="Arial"/>
          <w:b/>
          <w:bCs/>
          <w:sz w:val="24"/>
          <w:szCs w:val="24"/>
          <w:lang w:val="en-US"/>
        </w:rPr>
      </w:pPr>
    </w:p>
    <w:p w:rsidR="00983171" w:rsidRPr="00082D37" w:rsidRDefault="00983171" w:rsidP="00983171">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Pr>
          <w:rFonts w:ascii="Arial" w:hAnsi="Arial"/>
          <w:sz w:val="24"/>
          <w:lang w:val="en-US" w:eastAsia="ko-KR"/>
        </w:rPr>
        <w:t>9</w:t>
      </w:r>
      <w:r w:rsidRPr="00082D37">
        <w:rPr>
          <w:rFonts w:ascii="Arial" w:hAnsi="Arial"/>
          <w:sz w:val="24"/>
          <w:lang w:val="en-US" w:eastAsia="ko-KR"/>
        </w:rPr>
        <w:t>.</w:t>
      </w:r>
      <w:r>
        <w:rPr>
          <w:rFonts w:ascii="Arial" w:hAnsi="Arial"/>
          <w:sz w:val="24"/>
          <w:lang w:val="en-US" w:eastAsia="ko-KR"/>
        </w:rPr>
        <w:t>1</w:t>
      </w:r>
      <w:r w:rsidRPr="00082D37">
        <w:rPr>
          <w:rFonts w:ascii="Arial" w:hAnsi="Arial"/>
          <w:sz w:val="24"/>
          <w:lang w:val="en-US" w:eastAsia="ko-KR"/>
        </w:rPr>
        <w:t>.</w:t>
      </w:r>
      <w:r>
        <w:rPr>
          <w:rFonts w:ascii="Arial" w:hAnsi="Arial"/>
          <w:sz w:val="24"/>
          <w:lang w:val="en-US" w:eastAsia="ko-KR"/>
        </w:rPr>
        <w:t>4.1</w:t>
      </w:r>
    </w:p>
    <w:p w:rsidR="00983171" w:rsidRPr="00082D37" w:rsidRDefault="00983171" w:rsidP="00983171">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rsidR="00983171" w:rsidRPr="00CB4D90" w:rsidRDefault="00983171" w:rsidP="00983171">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Pr="00F22D9E">
        <w:rPr>
          <w:rFonts w:ascii="Arial" w:hAnsi="Arial"/>
          <w:sz w:val="24"/>
          <w:lang w:val="en-US"/>
        </w:rPr>
        <w:t>Views on UL precoding indication for STxMP</w:t>
      </w:r>
    </w:p>
    <w:p w:rsidR="00983171" w:rsidRPr="00082D37" w:rsidRDefault="00983171" w:rsidP="00983171">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Pr="00082D37">
        <w:rPr>
          <w:rFonts w:ascii="Arial" w:hAnsi="Arial"/>
          <w:sz w:val="24"/>
          <w:lang w:val="en-US" w:eastAsia="ko-KR"/>
        </w:rPr>
        <w:t xml:space="preserve"> and Decision</w:t>
      </w:r>
    </w:p>
    <w:p w:rsidR="00983171" w:rsidRPr="00EF533A" w:rsidRDefault="00983171" w:rsidP="00983171">
      <w:pPr>
        <w:pStyle w:val="1"/>
        <w:numPr>
          <w:ilvl w:val="0"/>
          <w:numId w:val="0"/>
        </w:numPr>
        <w:spacing w:before="0" w:after="0" w:line="240" w:lineRule="auto"/>
        <w:ind w:left="792"/>
        <w:jc w:val="both"/>
        <w:rPr>
          <w:sz w:val="16"/>
          <w:szCs w:val="16"/>
          <w:lang w:val="en-US"/>
        </w:rPr>
      </w:pPr>
    </w:p>
    <w:p w:rsidR="00983171" w:rsidRDefault="00983171" w:rsidP="00983171">
      <w:pPr>
        <w:pStyle w:val="1"/>
        <w:spacing w:before="0" w:after="60"/>
        <w:jc w:val="both"/>
        <w:rPr>
          <w:lang w:val="en-US"/>
        </w:rPr>
      </w:pPr>
      <w:r>
        <w:rPr>
          <w:lang w:val="en-US"/>
        </w:rPr>
        <w:t>Introduction</w:t>
      </w:r>
    </w:p>
    <w:p w:rsidR="00983171" w:rsidRPr="004636FE" w:rsidRDefault="00983171" w:rsidP="00983171">
      <w:pPr>
        <w:pStyle w:val="0Maintext"/>
        <w:spacing w:after="60" w:afterAutospacing="0"/>
        <w:rPr>
          <w:lang w:val="en-US"/>
        </w:rPr>
      </w:pPr>
      <w:r w:rsidRPr="004636FE">
        <w:rPr>
          <w:lang w:val="en-US"/>
        </w:rPr>
        <w:t xml:space="preserve">The Rel.18 WID [1] includes the following objectives regarding the </w:t>
      </w:r>
      <w:r>
        <w:rPr>
          <w:lang w:val="en-US"/>
        </w:rPr>
        <w:t>uplink precoding indication for STxMP (simultaneous transmission with multi-panel)</w:t>
      </w:r>
      <w:r w:rsidRPr="004636FE">
        <w:rPr>
          <w:lang w:val="en-US"/>
        </w:rPr>
        <w:t>.</w:t>
      </w:r>
    </w:p>
    <w:tbl>
      <w:tblPr>
        <w:tblStyle w:val="a4"/>
        <w:tblW w:w="0" w:type="auto"/>
        <w:tblLook w:val="04A0" w:firstRow="1" w:lastRow="0" w:firstColumn="1" w:lastColumn="0" w:noHBand="0" w:noVBand="1"/>
      </w:tblPr>
      <w:tblGrid>
        <w:gridCol w:w="9629"/>
      </w:tblGrid>
      <w:tr w:rsidR="00983171" w:rsidRPr="000674BC" w:rsidTr="00E410D2">
        <w:tc>
          <w:tcPr>
            <w:tcW w:w="9629" w:type="dxa"/>
          </w:tcPr>
          <w:p w:rsidR="00983171" w:rsidRPr="00961805" w:rsidRDefault="00983171" w:rsidP="00983171">
            <w:pPr>
              <w:numPr>
                <w:ilvl w:val="0"/>
                <w:numId w:val="8"/>
              </w:numPr>
              <w:overflowPunct w:val="0"/>
              <w:autoSpaceDE w:val="0"/>
              <w:autoSpaceDN w:val="0"/>
              <w:adjustRightInd w:val="0"/>
              <w:snapToGrid w:val="0"/>
              <w:spacing w:beforeLines="50" w:before="120" w:after="180"/>
              <w:jc w:val="both"/>
              <w:textAlignment w:val="baseline"/>
              <w:rPr>
                <w:rFonts w:eastAsia="SimSun"/>
                <w:bCs/>
                <w:sz w:val="20"/>
                <w:lang w:val="en-US" w:eastAsia="en-GB"/>
              </w:rPr>
            </w:pPr>
            <w:r w:rsidRPr="00961805">
              <w:rPr>
                <w:rFonts w:eastAsia="SimSun"/>
                <w:bCs/>
                <w:sz w:val="20"/>
                <w:lang w:val="en-US" w:eastAsia="en-GB"/>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rsidR="00983171" w:rsidRPr="00961805" w:rsidRDefault="00983171" w:rsidP="00983171">
            <w:pPr>
              <w:numPr>
                <w:ilvl w:val="1"/>
                <w:numId w:val="4"/>
              </w:numPr>
              <w:overflowPunct w:val="0"/>
              <w:autoSpaceDE w:val="0"/>
              <w:autoSpaceDN w:val="0"/>
              <w:adjustRightInd w:val="0"/>
              <w:snapToGrid w:val="0"/>
              <w:spacing w:beforeLines="50" w:before="120" w:after="180"/>
              <w:jc w:val="both"/>
              <w:textAlignment w:val="baseline"/>
              <w:rPr>
                <w:rFonts w:eastAsia="SimSun"/>
                <w:bCs/>
                <w:sz w:val="20"/>
                <w:lang w:val="en-US" w:eastAsia="en-GB"/>
              </w:rPr>
            </w:pPr>
            <w:r w:rsidRPr="00961805">
              <w:rPr>
                <w:rFonts w:eastAsia="SimSun"/>
                <w:bCs/>
                <w:sz w:val="20"/>
                <w:lang w:val="en-US" w:eastAsia="en-GB"/>
              </w:rPr>
              <w:t>UL precoding indication for PUSCH, where no new codebook is introduced for multi-panel simultaneous transmission</w:t>
            </w:r>
          </w:p>
          <w:p w:rsidR="00983171" w:rsidRPr="00961805" w:rsidRDefault="00983171" w:rsidP="00983171">
            <w:pPr>
              <w:numPr>
                <w:ilvl w:val="2"/>
                <w:numId w:val="6"/>
              </w:numPr>
              <w:tabs>
                <w:tab w:val="left" w:pos="1418"/>
              </w:tabs>
              <w:overflowPunct w:val="0"/>
              <w:autoSpaceDE w:val="0"/>
              <w:autoSpaceDN w:val="0"/>
              <w:adjustRightInd w:val="0"/>
              <w:snapToGrid w:val="0"/>
              <w:spacing w:beforeLines="50" w:before="120" w:after="180"/>
              <w:jc w:val="both"/>
              <w:textAlignment w:val="baseline"/>
              <w:rPr>
                <w:rFonts w:eastAsia="SimSun"/>
                <w:bCs/>
                <w:sz w:val="20"/>
                <w:lang w:val="en-US" w:eastAsia="en-GB"/>
              </w:rPr>
            </w:pPr>
            <w:r w:rsidRPr="00961805">
              <w:rPr>
                <w:rFonts w:eastAsia="SimSun"/>
                <w:bCs/>
                <w:sz w:val="20"/>
                <w:lang w:val="en-US" w:eastAsia="en-GB"/>
              </w:rPr>
              <w:t>The total number of layers is up to four across all panels and total number of codewords is up to two across all panels, considering single DCI and multi-DCI based multi-TRP operation.</w:t>
            </w:r>
          </w:p>
          <w:p w:rsidR="00983171" w:rsidRPr="00961805" w:rsidRDefault="00983171" w:rsidP="00983171">
            <w:pPr>
              <w:numPr>
                <w:ilvl w:val="1"/>
                <w:numId w:val="5"/>
              </w:numPr>
              <w:overflowPunct w:val="0"/>
              <w:autoSpaceDE w:val="0"/>
              <w:autoSpaceDN w:val="0"/>
              <w:adjustRightInd w:val="0"/>
              <w:snapToGrid w:val="0"/>
              <w:spacing w:beforeLines="50" w:before="120" w:after="180"/>
              <w:jc w:val="both"/>
              <w:textAlignment w:val="baseline"/>
              <w:rPr>
                <w:rFonts w:eastAsia="SimSun"/>
                <w:bCs/>
                <w:sz w:val="20"/>
                <w:lang w:val="en-US" w:eastAsia="en-GB"/>
              </w:rPr>
            </w:pPr>
            <w:r w:rsidRPr="00961805">
              <w:rPr>
                <w:rFonts w:eastAsia="SimSun"/>
                <w:bCs/>
                <w:sz w:val="20"/>
                <w:lang w:val="en-US" w:eastAsia="en-GB"/>
              </w:rPr>
              <w:t>UL beam indication for PUCCH/PUSCH, where unified TCI framework extension in objective 2 is assumed, considering single DCI and multi-DCI based multi-TRP operation</w:t>
            </w:r>
          </w:p>
          <w:p w:rsidR="00983171" w:rsidRPr="000674BC" w:rsidRDefault="00983171" w:rsidP="00983171">
            <w:pPr>
              <w:numPr>
                <w:ilvl w:val="2"/>
                <w:numId w:val="7"/>
              </w:numPr>
              <w:overflowPunct w:val="0"/>
              <w:autoSpaceDE w:val="0"/>
              <w:autoSpaceDN w:val="0"/>
              <w:adjustRightInd w:val="0"/>
              <w:snapToGrid w:val="0"/>
              <w:spacing w:beforeLines="50" w:before="120" w:after="180"/>
              <w:jc w:val="both"/>
              <w:textAlignment w:val="baseline"/>
              <w:rPr>
                <w:bCs/>
                <w:sz w:val="20"/>
                <w:lang w:val="en-US"/>
              </w:rPr>
            </w:pPr>
            <w:r w:rsidRPr="00961805">
              <w:rPr>
                <w:rFonts w:eastAsia="SimSun"/>
                <w:bCs/>
                <w:sz w:val="20"/>
                <w:lang w:val="en-US" w:eastAsia="en-GB"/>
              </w:rPr>
              <w:t>For the case of multi-DCI based multi-TRP operation, only PUSCH+PUSCH, or PUCCH+PUCCH is transmitted across two panels in a same CC.</w:t>
            </w:r>
          </w:p>
        </w:tc>
      </w:tr>
    </w:tbl>
    <w:p w:rsidR="00983171" w:rsidRDefault="00983171" w:rsidP="00983171">
      <w:pPr>
        <w:pStyle w:val="0Maintext"/>
        <w:spacing w:after="60" w:afterAutospacing="0"/>
        <w:ind w:firstLine="357"/>
        <w:rPr>
          <w:lang w:val="en-US"/>
        </w:rPr>
      </w:pPr>
    </w:p>
    <w:p w:rsidR="00983171" w:rsidRDefault="00983171" w:rsidP="00983171">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regarding the UL precoding indication for STxMP.</w:t>
      </w:r>
      <w:r w:rsidRPr="00294474">
        <w:rPr>
          <w:lang w:val="en-US"/>
        </w:rPr>
        <w:t xml:space="preserve"> </w:t>
      </w:r>
    </w:p>
    <w:p w:rsidR="00983171" w:rsidRDefault="00983171" w:rsidP="00983171">
      <w:pPr>
        <w:pStyle w:val="0Maintext"/>
        <w:spacing w:after="60" w:afterAutospacing="0"/>
        <w:rPr>
          <w:lang w:val="en-US"/>
        </w:rPr>
      </w:pPr>
    </w:p>
    <w:p w:rsidR="00983171" w:rsidRDefault="00983171" w:rsidP="00983171">
      <w:pPr>
        <w:pStyle w:val="1"/>
        <w:spacing w:before="0" w:after="60"/>
        <w:ind w:left="792" w:hanging="792"/>
        <w:rPr>
          <w:lang w:val="en-US"/>
        </w:rPr>
      </w:pPr>
      <w:r>
        <w:rPr>
          <w:lang w:val="en-US"/>
        </w:rPr>
        <w:t>Potential enhancement</w:t>
      </w:r>
    </w:p>
    <w:p w:rsidR="00983171" w:rsidRPr="001675FD" w:rsidRDefault="00983171" w:rsidP="00983171">
      <w:pPr>
        <w:pStyle w:val="2"/>
        <w:numPr>
          <w:ilvl w:val="1"/>
          <w:numId w:val="2"/>
        </w:numPr>
        <w:rPr>
          <w:lang w:val="en-US"/>
        </w:rPr>
      </w:pPr>
      <w:r>
        <w:rPr>
          <w:lang w:val="en-US"/>
        </w:rPr>
        <w:t>Support sDCI based STx2P for mTRP and sTRP</w:t>
      </w:r>
    </w:p>
    <w:p w:rsidR="00983171" w:rsidRDefault="00983171" w:rsidP="00983171">
      <w:pPr>
        <w:pStyle w:val="0Maintext"/>
        <w:rPr>
          <w:lang w:val="en-US" w:eastAsia="ko-KR"/>
        </w:rPr>
      </w:pPr>
      <w:r>
        <w:rPr>
          <w:lang w:val="en-US" w:eastAsia="ko-KR"/>
        </w:rPr>
        <w:t xml:space="preserve">In the previous RAN1#110b-e meeting, the following was agreed [3]. </w:t>
      </w:r>
    </w:p>
    <w:tbl>
      <w:tblPr>
        <w:tblStyle w:val="a4"/>
        <w:tblW w:w="0" w:type="auto"/>
        <w:tblLook w:val="04A0" w:firstRow="1" w:lastRow="0" w:firstColumn="1" w:lastColumn="0" w:noHBand="0" w:noVBand="1"/>
      </w:tblPr>
      <w:tblGrid>
        <w:gridCol w:w="9629"/>
      </w:tblGrid>
      <w:tr w:rsidR="00983171" w:rsidTr="00E410D2">
        <w:tc>
          <w:tcPr>
            <w:tcW w:w="9629" w:type="dxa"/>
          </w:tcPr>
          <w:p w:rsidR="00983171" w:rsidRPr="00F0722D" w:rsidRDefault="00983171" w:rsidP="00E410D2">
            <w:pPr>
              <w:rPr>
                <w:rFonts w:ascii="Times" w:eastAsia="바탕" w:hAnsi="Times" w:cs="Times"/>
                <w:b/>
                <w:bCs/>
                <w:sz w:val="20"/>
                <w:highlight w:val="green"/>
                <w:lang w:val="en-CA" w:eastAsia="zh-CN"/>
              </w:rPr>
            </w:pPr>
            <w:r w:rsidRPr="00F0722D">
              <w:rPr>
                <w:rFonts w:ascii="Times" w:eastAsia="바탕" w:hAnsi="Times" w:cs="Times"/>
                <w:b/>
                <w:bCs/>
                <w:sz w:val="20"/>
                <w:highlight w:val="green"/>
                <w:lang w:val="en-CA" w:eastAsia="zh-CN"/>
              </w:rPr>
              <w:t>Agreement</w:t>
            </w:r>
          </w:p>
          <w:p w:rsidR="00983171" w:rsidRPr="00F0722D" w:rsidRDefault="00983171" w:rsidP="00E410D2">
            <w:pPr>
              <w:rPr>
                <w:rFonts w:ascii="Times" w:eastAsia="바탕" w:hAnsi="Times" w:cs="Times"/>
                <w:bCs/>
                <w:sz w:val="20"/>
              </w:rPr>
            </w:pPr>
            <w:r w:rsidRPr="00F0722D">
              <w:rPr>
                <w:rFonts w:ascii="Times" w:eastAsia="바탕" w:hAnsi="Times" w:cs="Times"/>
                <w:bCs/>
                <w:sz w:val="20"/>
              </w:rPr>
              <w:t>Support SFN-based transmission scheme for STxMP PUSCH transmission in single-DCI based mTRP system in Rel-18</w:t>
            </w:r>
          </w:p>
          <w:p w:rsidR="00983171" w:rsidRPr="00F0722D" w:rsidRDefault="00983171" w:rsidP="00E410D2">
            <w:pPr>
              <w:pStyle w:val="0Maintext"/>
              <w:ind w:firstLine="0"/>
              <w:rPr>
                <w:lang w:eastAsia="ko-KR"/>
              </w:rPr>
            </w:pPr>
          </w:p>
        </w:tc>
      </w:tr>
    </w:tbl>
    <w:p w:rsidR="00983171" w:rsidRDefault="00983171" w:rsidP="00983171">
      <w:pPr>
        <w:pStyle w:val="0Maintext"/>
        <w:ind w:firstLine="357"/>
        <w:contextualSpacing/>
        <w:rPr>
          <w:lang w:val="en-US" w:eastAsia="ko-KR"/>
        </w:rPr>
      </w:pPr>
    </w:p>
    <w:p w:rsidR="00983171" w:rsidRDefault="00983171" w:rsidP="00983171">
      <w:pPr>
        <w:pStyle w:val="0Maintext"/>
        <w:ind w:firstLine="357"/>
        <w:contextualSpacing/>
        <w:rPr>
          <w:lang w:val="en-US" w:eastAsia="ko-KR"/>
        </w:rPr>
      </w:pPr>
      <w:r>
        <w:rPr>
          <w:rFonts w:hint="eastAsia"/>
          <w:lang w:val="en-US" w:eastAsia="ko-KR"/>
        </w:rPr>
        <w:t>Based on th</w:t>
      </w:r>
      <w:r>
        <w:rPr>
          <w:lang w:val="en-US" w:eastAsia="ko-KR"/>
        </w:rPr>
        <w:t>e</w:t>
      </w:r>
      <w:r>
        <w:rPr>
          <w:rFonts w:hint="eastAsia"/>
          <w:lang w:val="en-US" w:eastAsia="ko-KR"/>
        </w:rPr>
        <w:t xml:space="preserve"> </w:t>
      </w:r>
      <w:r>
        <w:rPr>
          <w:lang w:val="en-US" w:eastAsia="ko-KR"/>
        </w:rPr>
        <w:t>agreement in the previous RAN1#110b-e meeting</w:t>
      </w:r>
      <w:r>
        <w:rPr>
          <w:rFonts w:hint="eastAsia"/>
          <w:lang w:val="en-US" w:eastAsia="ko-KR"/>
        </w:rPr>
        <w:t>,</w:t>
      </w:r>
      <w:r>
        <w:rPr>
          <w:lang w:val="en-US" w:eastAsia="ko-KR"/>
        </w:rPr>
        <w:t xml:space="preserve"> sDCI based mTRP SFN scheme for STx2P PUSCH transmission can be supported. This scheme can be used to transmit same data toward two TRPs as depicted in Figure 1 (a). </w:t>
      </w:r>
      <w:r>
        <w:rPr>
          <w:rFonts w:hint="eastAsia"/>
          <w:lang w:val="en-US" w:eastAsia="ko-KR"/>
        </w:rPr>
        <w:t xml:space="preserve">On the other hand, </w:t>
      </w:r>
      <w:r>
        <w:rPr>
          <w:lang w:val="en-US" w:eastAsia="ko-KR"/>
        </w:rPr>
        <w:t xml:space="preserve">we can also consider sTRP transmission via two panels to achieve the gain from using all antenna ports across two panels. If two panels are located in the same plane and boresights for two panels are pointing to the same direction, as shown in Figure 1 (b), sTRP STx2P can be supported and it can be beneficial for the coverage enhancement by exploiting the diversity gain from all antenna ports and the power gain (if per-panel max power is available). To increase coverage, the layer(s) for PUSCH can be transmitted toward single TRP by two panels and the SFN based scheme can be an option to support sTRP STx2P. The SFN transmission scheme can operate based on a pair of SRS resources (one resource for each panel) and one joint precoder across two panels can be applied (more details for sTRP SFN STx2P </w:t>
      </w:r>
      <w:r>
        <w:rPr>
          <w:lang w:val="en-US" w:eastAsia="ko-KR"/>
        </w:rPr>
        <w:lastRenderedPageBreak/>
        <w:t>are provided in the next issue for SRI/TPMI indication). Therefore, we propose to support sDCI based sTRP STx2P and support sDCI based sTRP SFN scheme for STx2P PUSCH transmission.</w:t>
      </w:r>
    </w:p>
    <w:p w:rsidR="00983171" w:rsidRDefault="00983171" w:rsidP="00983171">
      <w:pPr>
        <w:pStyle w:val="0Maintext"/>
        <w:ind w:firstLine="357"/>
        <w:contextualSpacing/>
        <w:rPr>
          <w:lang w:val="en-US" w:eastAsia="ko-KR"/>
        </w:rPr>
      </w:pPr>
    </w:p>
    <w:p w:rsidR="00983171" w:rsidRDefault="00983171" w:rsidP="00983171">
      <w:pPr>
        <w:pStyle w:val="0Maintext"/>
        <w:ind w:firstLine="357"/>
        <w:contextualSpacing/>
        <w:rPr>
          <w:lang w:val="en-US" w:eastAsia="ko-KR"/>
        </w:rPr>
      </w:pPr>
    </w:p>
    <w:p w:rsidR="00983171" w:rsidRDefault="00983171" w:rsidP="00983171">
      <w:pPr>
        <w:pStyle w:val="0Maintext"/>
        <w:ind w:firstLine="357"/>
        <w:contextualSpacing/>
        <w:jc w:val="center"/>
        <w:rPr>
          <w:rFonts w:cs="Times New Roman"/>
          <w:noProof/>
          <w:sz w:val="22"/>
          <w:lang w:val="en-US" w:eastAsia="ko-KR"/>
        </w:rPr>
      </w:pPr>
      <w:r>
        <w:rPr>
          <w:rFonts w:cs="Times New Roman" w:hint="eastAsia"/>
          <w:noProof/>
          <w:sz w:val="22"/>
          <w:lang w:val="en-US" w:eastAsia="ko-KR"/>
        </w:rPr>
        <w:t xml:space="preserve">   </w:t>
      </w:r>
      <w:r w:rsidRPr="00593AE0">
        <w:rPr>
          <w:rFonts w:cs="Times New Roman"/>
          <w:noProof/>
          <w:sz w:val="22"/>
          <w:lang w:val="en-US" w:eastAsia="ko-KR"/>
        </w:rPr>
        <w:drawing>
          <wp:inline distT="0" distB="0" distL="0" distR="0" wp14:anchorId="6821FDDF" wp14:editId="7B153D5C">
            <wp:extent cx="2421331" cy="1389933"/>
            <wp:effectExtent l="0" t="0" r="0" b="1270"/>
            <wp:docPr id="87" name="그림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그림 86"/>
                    <pic:cNvPicPr>
                      <a:picLocks noChangeAspect="1"/>
                    </pic:cNvPicPr>
                  </pic:nvPicPr>
                  <pic:blipFill>
                    <a:blip r:embed="rId5"/>
                    <a:stretch>
                      <a:fillRect/>
                    </a:stretch>
                  </pic:blipFill>
                  <pic:spPr>
                    <a:xfrm>
                      <a:off x="0" y="0"/>
                      <a:ext cx="2458579" cy="1411315"/>
                    </a:xfrm>
                    <a:prstGeom prst="rect">
                      <a:avLst/>
                    </a:prstGeom>
                  </pic:spPr>
                </pic:pic>
              </a:graphicData>
            </a:graphic>
          </wp:inline>
        </w:drawing>
      </w:r>
      <w:r w:rsidRPr="00593AE0">
        <w:rPr>
          <w:rFonts w:cs="Times New Roman"/>
          <w:noProof/>
          <w:sz w:val="22"/>
          <w:lang w:val="en-US" w:eastAsia="ko-KR"/>
        </w:rPr>
        <w:t xml:space="preserve"> </w:t>
      </w:r>
      <w:r>
        <w:rPr>
          <w:rFonts w:cs="Times New Roman"/>
          <w:noProof/>
          <w:sz w:val="22"/>
          <w:lang w:val="en-US" w:eastAsia="ko-KR"/>
        </w:rPr>
        <w:t xml:space="preserve">     </w:t>
      </w:r>
      <w:r w:rsidRPr="00593AE0">
        <w:rPr>
          <w:rFonts w:cs="Times New Roman"/>
          <w:noProof/>
          <w:sz w:val="22"/>
          <w:lang w:val="en-US" w:eastAsia="ko-KR"/>
        </w:rPr>
        <w:drawing>
          <wp:inline distT="0" distB="0" distL="0" distR="0" wp14:anchorId="78DFDB18" wp14:editId="3EE51E7B">
            <wp:extent cx="2406700" cy="1381535"/>
            <wp:effectExtent l="0" t="0" r="0" b="9525"/>
            <wp:docPr id="103" name="그림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그림 102"/>
                    <pic:cNvPicPr>
                      <a:picLocks noChangeAspect="1"/>
                    </pic:cNvPicPr>
                  </pic:nvPicPr>
                  <pic:blipFill>
                    <a:blip r:embed="rId6"/>
                    <a:stretch>
                      <a:fillRect/>
                    </a:stretch>
                  </pic:blipFill>
                  <pic:spPr>
                    <a:xfrm>
                      <a:off x="0" y="0"/>
                      <a:ext cx="2431580" cy="1395817"/>
                    </a:xfrm>
                    <a:prstGeom prst="rect">
                      <a:avLst/>
                    </a:prstGeom>
                  </pic:spPr>
                </pic:pic>
              </a:graphicData>
            </a:graphic>
          </wp:inline>
        </w:drawing>
      </w:r>
    </w:p>
    <w:p w:rsidR="00983171" w:rsidRDefault="00983171" w:rsidP="00983171">
      <w:pPr>
        <w:pStyle w:val="0Maintext"/>
        <w:ind w:firstLine="357"/>
        <w:contextualSpacing/>
        <w:rPr>
          <w:lang w:val="en-US" w:eastAsia="ko-KR"/>
        </w:rPr>
      </w:pPr>
      <w:r>
        <w:rPr>
          <w:lang w:val="en-US" w:eastAsia="ko-KR"/>
        </w:rPr>
        <w:tab/>
      </w:r>
      <w:r>
        <w:rPr>
          <w:lang w:val="en-US" w:eastAsia="ko-KR"/>
        </w:rPr>
        <w:tab/>
        <w:t xml:space="preserve">             (a)</w:t>
      </w:r>
      <w:r>
        <w:rPr>
          <w:lang w:val="en-US" w:eastAsia="ko-KR"/>
        </w:rPr>
        <w:tab/>
        <w:t xml:space="preserve"> </w:t>
      </w:r>
      <w:r>
        <w:rPr>
          <w:lang w:val="en-US" w:eastAsia="ko-KR"/>
        </w:rPr>
        <w:tab/>
      </w:r>
      <w:r>
        <w:rPr>
          <w:lang w:val="en-US" w:eastAsia="ko-KR"/>
        </w:rPr>
        <w:tab/>
      </w:r>
      <w:r>
        <w:rPr>
          <w:lang w:val="en-US" w:eastAsia="ko-KR"/>
        </w:rPr>
        <w:tab/>
        <w:t xml:space="preserve">     </w:t>
      </w:r>
      <w:r>
        <w:rPr>
          <w:lang w:val="en-US" w:eastAsia="ko-KR"/>
        </w:rPr>
        <w:tab/>
      </w:r>
      <w:r>
        <w:rPr>
          <w:lang w:val="en-US" w:eastAsia="ko-KR"/>
        </w:rPr>
        <w:tab/>
        <w:t xml:space="preserve"> (b)</w:t>
      </w:r>
    </w:p>
    <w:p w:rsidR="00983171" w:rsidRDefault="00983171" w:rsidP="00983171">
      <w:pPr>
        <w:pStyle w:val="0Maintext"/>
        <w:jc w:val="center"/>
        <w:rPr>
          <w:lang w:val="en-US" w:eastAsia="ko-KR"/>
        </w:rPr>
      </w:pPr>
      <w:r>
        <w:rPr>
          <w:lang w:val="en-US" w:eastAsia="ko-KR"/>
        </w:rPr>
        <w:t>Figure 1. Example for sDCI based SFN schemes for STx2P PUSCH transmission</w:t>
      </w:r>
    </w:p>
    <w:p w:rsidR="00983171" w:rsidRDefault="00983171" w:rsidP="00983171">
      <w:pPr>
        <w:pStyle w:val="0Maintext"/>
        <w:ind w:firstLine="0"/>
        <w:contextualSpacing/>
        <w:rPr>
          <w:i/>
          <w:lang w:val="en-US" w:eastAsia="ko-KR"/>
        </w:rPr>
      </w:pPr>
      <w:r w:rsidRPr="00EC62A3">
        <w:rPr>
          <w:b/>
          <w:i/>
          <w:lang w:val="en-US" w:eastAsia="ko-KR"/>
        </w:rPr>
        <w:t xml:space="preserve">Proposal </w:t>
      </w:r>
      <w:r>
        <w:rPr>
          <w:b/>
          <w:i/>
          <w:lang w:val="en-US" w:eastAsia="ko-KR"/>
        </w:rPr>
        <w:t>1</w:t>
      </w:r>
      <w:r w:rsidRPr="00EC62A3">
        <w:rPr>
          <w:i/>
          <w:lang w:val="en-US" w:eastAsia="ko-KR"/>
        </w:rPr>
        <w:t xml:space="preserve">: </w:t>
      </w:r>
      <w:r>
        <w:rPr>
          <w:i/>
          <w:lang w:val="en-US" w:eastAsia="ko-KR"/>
        </w:rPr>
        <w:t>Support sDCI based sTRP STx2P and support sDCI based sTRP SFN scheme for STx2P PUSCH transmission to increase reliability, coverage, and potentially throughput gains</w:t>
      </w:r>
    </w:p>
    <w:p w:rsidR="00983171" w:rsidRPr="00BD72E6" w:rsidRDefault="00983171" w:rsidP="00983171">
      <w:pPr>
        <w:pStyle w:val="0Maintext"/>
        <w:ind w:firstLine="0"/>
        <w:contextualSpacing/>
        <w:rPr>
          <w:b/>
          <w:i/>
          <w:lang w:val="en-US" w:eastAsia="ko-KR"/>
        </w:rPr>
      </w:pPr>
    </w:p>
    <w:tbl>
      <w:tblPr>
        <w:tblStyle w:val="a4"/>
        <w:tblW w:w="0" w:type="auto"/>
        <w:tblLook w:val="04A0" w:firstRow="1" w:lastRow="0" w:firstColumn="1" w:lastColumn="0" w:noHBand="0" w:noVBand="1"/>
      </w:tblPr>
      <w:tblGrid>
        <w:gridCol w:w="9629"/>
      </w:tblGrid>
      <w:tr w:rsidR="00983171" w:rsidTr="00E410D2">
        <w:tc>
          <w:tcPr>
            <w:tcW w:w="9629" w:type="dxa"/>
          </w:tcPr>
          <w:p w:rsidR="00983171" w:rsidRPr="00F0722D" w:rsidRDefault="00983171" w:rsidP="00E410D2">
            <w:pPr>
              <w:rPr>
                <w:rFonts w:ascii="Times" w:eastAsia="바탕" w:hAnsi="Times" w:cs="Times"/>
                <w:b/>
                <w:bCs/>
                <w:sz w:val="20"/>
                <w:highlight w:val="green"/>
                <w:lang w:val="en-CA" w:eastAsia="zh-CN"/>
              </w:rPr>
            </w:pPr>
            <w:r w:rsidRPr="00F0722D">
              <w:rPr>
                <w:rFonts w:ascii="Times" w:eastAsia="바탕" w:hAnsi="Times" w:cs="Times"/>
                <w:b/>
                <w:bCs/>
                <w:sz w:val="20"/>
                <w:highlight w:val="green"/>
                <w:lang w:val="en-CA" w:eastAsia="zh-CN"/>
              </w:rPr>
              <w:t>Agreement</w:t>
            </w:r>
          </w:p>
          <w:p w:rsidR="00983171" w:rsidRPr="00F0722D" w:rsidRDefault="00983171" w:rsidP="00E410D2">
            <w:pPr>
              <w:jc w:val="both"/>
              <w:rPr>
                <w:rFonts w:ascii="Times" w:eastAsia="바탕" w:hAnsi="Times" w:cs="Times"/>
                <w:bCs/>
                <w:sz w:val="20"/>
                <w:lang w:val="en-CA" w:eastAsia="zh-CN"/>
              </w:rPr>
            </w:pPr>
            <w:r w:rsidRPr="00F0722D">
              <w:rPr>
                <w:rFonts w:ascii="Times" w:eastAsia="바탕" w:hAnsi="Times" w:cs="Times"/>
                <w:bCs/>
                <w:sz w:val="20"/>
                <w:lang w:val="en-CA" w:eastAsia="zh-CN"/>
              </w:rPr>
              <w:t>Support dynamic switching between SDM scheme of single-DCI based STxMP PUSCH and sTRP transmission</w:t>
            </w:r>
          </w:p>
          <w:p w:rsidR="00983171" w:rsidRPr="00F0722D" w:rsidRDefault="00983171" w:rsidP="00983171">
            <w:pPr>
              <w:numPr>
                <w:ilvl w:val="0"/>
                <w:numId w:val="13"/>
              </w:numPr>
              <w:jc w:val="both"/>
              <w:rPr>
                <w:rFonts w:ascii="Times" w:eastAsia="바탕" w:hAnsi="Times" w:cs="Times"/>
                <w:bCs/>
                <w:sz w:val="20"/>
                <w:lang w:val="en-CA" w:eastAsia="zh-CN"/>
              </w:rPr>
            </w:pPr>
            <w:r w:rsidRPr="00F0722D">
              <w:rPr>
                <w:rFonts w:ascii="Times" w:eastAsia="바탕" w:hAnsi="Times" w:cs="Times"/>
                <w:bCs/>
                <w:sz w:val="20"/>
                <w:lang w:eastAsia="zh-CN"/>
              </w:rPr>
              <w:t>FFS the indication of dynamic switching</w:t>
            </w:r>
          </w:p>
          <w:p w:rsidR="00983171" w:rsidRPr="00F0722D" w:rsidRDefault="00983171" w:rsidP="00983171">
            <w:pPr>
              <w:numPr>
                <w:ilvl w:val="0"/>
                <w:numId w:val="13"/>
              </w:numPr>
              <w:jc w:val="both"/>
              <w:rPr>
                <w:rFonts w:ascii="Times" w:eastAsia="바탕" w:hAnsi="Times" w:cs="Times"/>
                <w:bCs/>
                <w:sz w:val="20"/>
                <w:lang w:val="en-CA" w:eastAsia="zh-CN"/>
              </w:rPr>
            </w:pPr>
            <w:r w:rsidRPr="00F0722D">
              <w:rPr>
                <w:rFonts w:ascii="Times" w:eastAsia="바탕" w:hAnsi="Times" w:cs="Times"/>
                <w:bCs/>
                <w:sz w:val="20"/>
                <w:lang w:val="en-CA" w:eastAsia="zh-CN"/>
              </w:rPr>
              <w:t>FFS: max number of layers when switching to sTRP transmission</w:t>
            </w:r>
          </w:p>
          <w:p w:rsidR="00983171" w:rsidRPr="00F0722D" w:rsidRDefault="00983171" w:rsidP="00E410D2">
            <w:pPr>
              <w:pStyle w:val="0Maintext"/>
              <w:ind w:firstLine="0"/>
              <w:rPr>
                <w:lang w:val="en-CA" w:eastAsia="ko-KR"/>
              </w:rPr>
            </w:pPr>
          </w:p>
        </w:tc>
      </w:tr>
    </w:tbl>
    <w:p w:rsidR="00983171" w:rsidRDefault="00983171" w:rsidP="00983171">
      <w:pPr>
        <w:pStyle w:val="0Maintext"/>
        <w:ind w:firstLine="357"/>
        <w:contextualSpacing/>
        <w:rPr>
          <w:lang w:val="en-US" w:eastAsia="ko-KR"/>
        </w:rPr>
      </w:pPr>
    </w:p>
    <w:p w:rsidR="00983171" w:rsidRDefault="00983171" w:rsidP="00983171">
      <w:pPr>
        <w:pStyle w:val="0Maintext"/>
        <w:ind w:firstLine="357"/>
        <w:contextualSpacing/>
        <w:rPr>
          <w:lang w:val="en-US" w:eastAsia="ko-KR"/>
        </w:rPr>
      </w:pPr>
      <w:r>
        <w:rPr>
          <w:lang w:val="en-US" w:eastAsia="ko-KR"/>
        </w:rPr>
        <w:t xml:space="preserve">As the above agreement in the previous meeting [3], RAN1 will support dynamic switching between sDCI based SDM STx2P PUSCH and sTRP transmission. In our understanding, sTRP transmission can include both sTRP panel selection and sTRP STx2P scheme. Therefore, dynamic switching can indicate sDCI based mTRP SDM STx2P PUSCH or sDCI based sTRP panel selection scheme or sDCI based sTRP SFN STx2P scheme. To support switching between mTRP transmission and sTRP transmission, legacy Rel-17 framework or Rel-18 unified TCI framework for mTRP can be reused, i.e., there is no need to introduce new framework or DCI field(s). The first option is that gNB can schedule either sTRP transmission or mTRP transmission according to the number of indicated TCI states via DCI. For the second option, SRS resource set indicator, which was introduced in Rel-17, can indicate either sTRP transmission (including panel selection and SFN STx2P scheme) or mTRP transmission if two TCI states are indicated. </w:t>
      </w:r>
    </w:p>
    <w:p w:rsidR="00983171" w:rsidRPr="003E471C" w:rsidRDefault="00983171" w:rsidP="00983171">
      <w:pPr>
        <w:pStyle w:val="0Maintext"/>
        <w:ind w:firstLine="357"/>
        <w:contextualSpacing/>
        <w:rPr>
          <w:lang w:val="en-US" w:eastAsia="ko-KR"/>
        </w:rPr>
      </w:pPr>
      <w:r>
        <w:rPr>
          <w:lang w:val="en-US" w:eastAsia="ko-KR"/>
        </w:rPr>
        <w:t>First, the beam indication for STx2P will be studied and discussed in sub-agenda 9.1.1.1. One possible candidate of beam indication for STx2P is group-based beam reporting. As a result of discussion for STx2P beam indication under sub-agenda 9.1.1.1, up to two beams can be indicated for STx2P. Depending on the number of indicated TCI states, we can support mTRP UL transmission and/or sTRP UL transmission. If two TCI states are indicated, both sTRP and mTRP UL transmission can be scheduled and SRS resource set indicator can determine transmission scheme (either sTRP or mTRP). Or only mTRP UL transmission can be supported if two TCI states are indicated. If the indicated TCI state(s) are associated with group-based beam reporting for STx2P, scheduled sTRP or mTRP UL channel can be transmitted via two panels, i.e., UE will transmit PUSCH with sTRP STx2P scheme or mTRP STx2P scheme. Otherwise, UE can follow Rel-17 or Rel-18 unified TCI framework (sub-agenda 9.1.1.1) for sTRP or mTRP transmission.</w:t>
      </w:r>
    </w:p>
    <w:p w:rsidR="00983171" w:rsidRDefault="00983171" w:rsidP="00983171">
      <w:pPr>
        <w:pStyle w:val="0Maintext"/>
        <w:ind w:firstLine="357"/>
        <w:contextualSpacing/>
        <w:rPr>
          <w:lang w:val="en-US" w:eastAsia="ko-KR"/>
        </w:rPr>
      </w:pPr>
      <w:r>
        <w:rPr>
          <w:lang w:val="en-US" w:eastAsia="ko-KR"/>
        </w:rPr>
        <w:t xml:space="preserve">For the second option, we can reuse SRS resource set indicator to switch between sTRP UL transmission (including sTRP STx2P, panel selection and legacy UL transmission) and mTRP UL transmission (including mTRP STx2P and legacy mTRP UL repetition) if two TCI states are indicated. For this case, two SRS resource sets are configured and each SRS resource set can be associated with each TCI state. Furthermore, each SRS resource set can include two SRS resource groups like Rel-17 configuration for NZP CSI-RS resource set to support sTRP STx2P. I.e., each SRS resource group in one SRS resource set could be associated with a panel. Based on two SRS resource sets where each set has up to two SRS resource groups, both sTRP and mTRP STx2P can be supported by dynamic switching. </w:t>
      </w:r>
    </w:p>
    <w:p w:rsidR="00983171" w:rsidRDefault="00983171" w:rsidP="00983171">
      <w:pPr>
        <w:pStyle w:val="0Maintext"/>
        <w:ind w:firstLine="357"/>
        <w:contextualSpacing/>
        <w:rPr>
          <w:lang w:val="en-US" w:eastAsia="ko-KR"/>
        </w:rPr>
      </w:pPr>
      <w:r>
        <w:rPr>
          <w:lang w:val="en-US" w:eastAsia="ko-KR"/>
        </w:rPr>
        <w:lastRenderedPageBreak/>
        <w:t xml:space="preserve">With those two options to support both sTRP and mTRP transmission, dynamic switching can be supported with superior </w:t>
      </w:r>
      <w:r w:rsidRPr="0076122B">
        <w:rPr>
          <w:lang w:val="en-US" w:eastAsia="ko-KR"/>
        </w:rPr>
        <w:t>scheduling flexibility</w:t>
      </w:r>
      <w:r>
        <w:rPr>
          <w:lang w:val="en-US" w:eastAsia="ko-KR"/>
        </w:rPr>
        <w:t>. This is</w:t>
      </w:r>
      <w:r w:rsidRPr="0076122B">
        <w:rPr>
          <w:lang w:val="en-US" w:eastAsia="ko-KR"/>
        </w:rPr>
        <w:t xml:space="preserve"> because different transmission schemes can be scheduled according to the channel conditi</w:t>
      </w:r>
      <w:r>
        <w:rPr>
          <w:lang w:val="en-US" w:eastAsia="ko-KR"/>
        </w:rPr>
        <w:t>on between two panels and TRPs.</w:t>
      </w:r>
    </w:p>
    <w:p w:rsidR="00983171" w:rsidRDefault="00983171" w:rsidP="00983171">
      <w:pPr>
        <w:contextualSpacing/>
        <w:rPr>
          <w:i/>
          <w:sz w:val="20"/>
          <w:lang w:val="en-US" w:eastAsia="ko-KR"/>
        </w:rPr>
      </w:pPr>
      <w:r w:rsidRPr="00EC62A3">
        <w:rPr>
          <w:b/>
          <w:i/>
          <w:sz w:val="20"/>
          <w:lang w:val="en-US" w:eastAsia="ko-KR"/>
        </w:rPr>
        <w:t xml:space="preserve">Proposal </w:t>
      </w:r>
      <w:r>
        <w:rPr>
          <w:b/>
          <w:i/>
          <w:sz w:val="20"/>
          <w:lang w:val="en-US" w:eastAsia="ko-KR"/>
        </w:rPr>
        <w:t>2</w:t>
      </w:r>
      <w:r w:rsidRPr="00EC62A3">
        <w:rPr>
          <w:i/>
          <w:sz w:val="20"/>
          <w:lang w:val="en-US" w:eastAsia="ko-KR"/>
        </w:rPr>
        <w:t>:</w:t>
      </w:r>
      <w:r>
        <w:rPr>
          <w:i/>
          <w:sz w:val="20"/>
          <w:lang w:val="en-US" w:eastAsia="ko-KR"/>
        </w:rPr>
        <w:t xml:space="preserve"> Switching between sTRP UL transmission or mTRP UL transmission can be indicated via two options to get the benefit of scheduling flexibility: </w:t>
      </w:r>
    </w:p>
    <w:p w:rsidR="00983171" w:rsidRPr="002106AD" w:rsidRDefault="00983171" w:rsidP="00983171">
      <w:pPr>
        <w:pStyle w:val="0Maintext"/>
        <w:numPr>
          <w:ilvl w:val="0"/>
          <w:numId w:val="10"/>
        </w:numPr>
        <w:rPr>
          <w:i/>
          <w:lang w:val="en-US" w:eastAsia="ko-KR"/>
        </w:rPr>
      </w:pPr>
      <w:r>
        <w:rPr>
          <w:rFonts w:cs="Times New Roman"/>
          <w:i/>
          <w:lang w:val="en-US" w:eastAsia="ko-KR"/>
        </w:rPr>
        <w:t xml:space="preserve">Option1. TCI state </w:t>
      </w:r>
    </w:p>
    <w:p w:rsidR="00983171" w:rsidRPr="00861BAA" w:rsidRDefault="00983171" w:rsidP="00983171">
      <w:pPr>
        <w:pStyle w:val="0Maintext"/>
        <w:numPr>
          <w:ilvl w:val="1"/>
          <w:numId w:val="10"/>
        </w:numPr>
        <w:rPr>
          <w:i/>
          <w:lang w:val="en-US" w:eastAsia="ko-KR"/>
        </w:rPr>
      </w:pPr>
      <w:r>
        <w:rPr>
          <w:rFonts w:cs="Times New Roman"/>
          <w:i/>
          <w:lang w:val="en-US" w:eastAsia="ko-KR"/>
        </w:rPr>
        <w:t>If one TCI state is indicated, sTRP UL transmission is scheduled</w:t>
      </w:r>
    </w:p>
    <w:p w:rsidR="00983171" w:rsidRPr="00861BAA" w:rsidRDefault="00983171" w:rsidP="00983171">
      <w:pPr>
        <w:pStyle w:val="0Maintext"/>
        <w:numPr>
          <w:ilvl w:val="1"/>
          <w:numId w:val="10"/>
        </w:numPr>
        <w:rPr>
          <w:i/>
          <w:lang w:val="en-US" w:eastAsia="ko-KR"/>
        </w:rPr>
      </w:pPr>
      <w:r>
        <w:rPr>
          <w:rFonts w:cs="Times New Roman"/>
          <w:i/>
          <w:lang w:val="en-US" w:eastAsia="ko-KR"/>
        </w:rPr>
        <w:t>If two TCI states are indicated, either (a) sTRP or mTRP UL transmission can be scheduled or (b) mTRP UL transmission is scheduled</w:t>
      </w:r>
    </w:p>
    <w:p w:rsidR="00983171" w:rsidRPr="00861BAA" w:rsidRDefault="00983171" w:rsidP="00983171">
      <w:pPr>
        <w:pStyle w:val="0Maintext"/>
        <w:numPr>
          <w:ilvl w:val="0"/>
          <w:numId w:val="10"/>
        </w:numPr>
        <w:rPr>
          <w:i/>
          <w:lang w:val="en-US" w:eastAsia="ko-KR"/>
        </w:rPr>
      </w:pPr>
      <w:r>
        <w:rPr>
          <w:rFonts w:cs="Times New Roman"/>
          <w:i/>
          <w:lang w:val="en-US" w:eastAsia="ko-KR"/>
        </w:rPr>
        <w:t>Option2. SRS resource set indicator</w:t>
      </w:r>
    </w:p>
    <w:p w:rsidR="00983171" w:rsidRPr="00861BAA" w:rsidRDefault="00983171" w:rsidP="00983171">
      <w:pPr>
        <w:pStyle w:val="0Maintext"/>
        <w:numPr>
          <w:ilvl w:val="1"/>
          <w:numId w:val="10"/>
        </w:numPr>
        <w:rPr>
          <w:i/>
          <w:lang w:val="en-US" w:eastAsia="ko-KR"/>
        </w:rPr>
      </w:pPr>
      <w:r>
        <w:rPr>
          <w:rFonts w:cs="Times New Roman"/>
          <w:i/>
          <w:lang w:val="en-US" w:eastAsia="ko-KR"/>
        </w:rPr>
        <w:t>If SRS resource set indicator indicates mTRP transmission, mTRP transmission (</w:t>
      </w:r>
      <w:r w:rsidRPr="00FF0731">
        <w:rPr>
          <w:rFonts w:cs="Times New Roman"/>
          <w:i/>
          <w:lang w:val="en-US" w:eastAsia="ko-KR"/>
        </w:rPr>
        <w:t>including mTRP STx2P and legacy mTRP UL repetition)</w:t>
      </w:r>
      <w:r>
        <w:rPr>
          <w:rFonts w:cs="Times New Roman"/>
          <w:i/>
          <w:lang w:val="en-US" w:eastAsia="ko-KR"/>
        </w:rPr>
        <w:t xml:space="preserve"> is scheduled based on two SRS resource sets</w:t>
      </w:r>
    </w:p>
    <w:p w:rsidR="00983171" w:rsidRPr="008658A4" w:rsidRDefault="00983171" w:rsidP="00983171">
      <w:pPr>
        <w:pStyle w:val="0Maintext"/>
        <w:numPr>
          <w:ilvl w:val="1"/>
          <w:numId w:val="10"/>
        </w:numPr>
        <w:rPr>
          <w:i/>
          <w:lang w:val="en-US" w:eastAsia="ko-KR"/>
        </w:rPr>
      </w:pPr>
      <w:r>
        <w:rPr>
          <w:rFonts w:cs="Times New Roman"/>
          <w:i/>
          <w:lang w:val="en-US" w:eastAsia="ko-KR"/>
        </w:rPr>
        <w:t xml:space="preserve">If SRS resource set indicator indicates sTRP transmissions, sTRP transmission </w:t>
      </w:r>
      <w:r w:rsidRPr="00FF0731">
        <w:rPr>
          <w:rFonts w:cs="Times New Roman"/>
          <w:i/>
          <w:lang w:val="en-US" w:eastAsia="ko-KR"/>
        </w:rPr>
        <w:t>(including sTRP STx2P, panel selection and legacy UL transmission)</w:t>
      </w:r>
      <w:r>
        <w:rPr>
          <w:rFonts w:cs="Times New Roman"/>
          <w:i/>
          <w:lang w:val="en-US" w:eastAsia="ko-KR"/>
        </w:rPr>
        <w:t xml:space="preserve"> is scheduled based on two SRS resource sets</w:t>
      </w:r>
    </w:p>
    <w:p w:rsidR="00983171" w:rsidRDefault="00983171" w:rsidP="00983171">
      <w:pPr>
        <w:pStyle w:val="2"/>
        <w:numPr>
          <w:ilvl w:val="1"/>
          <w:numId w:val="2"/>
        </w:numPr>
        <w:rPr>
          <w:lang w:val="en-US"/>
        </w:rPr>
      </w:pPr>
      <w:r>
        <w:rPr>
          <w:lang w:val="en-US"/>
        </w:rPr>
        <w:t xml:space="preserve">Study on SRI/TPMI indication for sDCI based STx2P </w:t>
      </w:r>
    </w:p>
    <w:p w:rsidR="00983171" w:rsidRDefault="00983171" w:rsidP="00983171">
      <w:pPr>
        <w:pStyle w:val="0Maintext"/>
        <w:rPr>
          <w:lang w:val="en-US" w:eastAsia="ko-KR"/>
        </w:rPr>
      </w:pPr>
      <w:r>
        <w:rPr>
          <w:lang w:val="en-US" w:eastAsia="ko-KR"/>
        </w:rPr>
        <w:t xml:space="preserve">To support STx2P for the UE with two panels, the uplink transmission and related setting for SRS resources and SRS resource sets should be studied. There are several possible </w:t>
      </w:r>
      <w:r>
        <w:rPr>
          <w:lang w:val="en-US"/>
        </w:rPr>
        <w:t>SRI/TPMI indication</w:t>
      </w:r>
      <w:r>
        <w:rPr>
          <w:lang w:val="en-US" w:eastAsia="ko-KR"/>
        </w:rPr>
        <w:t xml:space="preserve"> methods to support STx2P. The first method is SRI/TPMI indication method to support sDCI based STx2P toward sTRP. For the first method, the SRS resource set can be configured with up to two SRS resource groups like CSI resource configuration in Rel-17 NCJT CSI as shown in figure 2. </w:t>
      </w:r>
    </w:p>
    <w:p w:rsidR="00983171" w:rsidRDefault="00983171" w:rsidP="00983171">
      <w:pPr>
        <w:pStyle w:val="0Maintext"/>
        <w:ind w:firstLine="357"/>
        <w:contextualSpacing/>
        <w:jc w:val="center"/>
        <w:rPr>
          <w:lang w:val="en-US" w:eastAsia="ko-KR"/>
        </w:rPr>
      </w:pPr>
      <w:r w:rsidRPr="00BB0E2A">
        <w:rPr>
          <w:noProof/>
          <w:lang w:val="en-US" w:eastAsia="ko-KR"/>
        </w:rPr>
        <w:drawing>
          <wp:inline distT="0" distB="0" distL="0" distR="0" wp14:anchorId="76CF2AC6" wp14:editId="04A8E2D2">
            <wp:extent cx="4850082" cy="1778000"/>
            <wp:effectExtent l="0" t="0" r="8255" b="0"/>
            <wp:docPr id="1"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8"/>
                    <pic:cNvPicPr>
                      <a:picLocks noChangeAspect="1"/>
                    </pic:cNvPicPr>
                  </pic:nvPicPr>
                  <pic:blipFill>
                    <a:blip r:embed="rId7"/>
                    <a:stretch>
                      <a:fillRect/>
                    </a:stretch>
                  </pic:blipFill>
                  <pic:spPr>
                    <a:xfrm>
                      <a:off x="0" y="0"/>
                      <a:ext cx="4877737" cy="1788138"/>
                    </a:xfrm>
                    <a:prstGeom prst="rect">
                      <a:avLst/>
                    </a:prstGeom>
                  </pic:spPr>
                </pic:pic>
              </a:graphicData>
            </a:graphic>
          </wp:inline>
        </w:drawing>
      </w:r>
    </w:p>
    <w:p w:rsidR="00983171" w:rsidRDefault="00983171" w:rsidP="00983171">
      <w:pPr>
        <w:pStyle w:val="0Maintext"/>
        <w:jc w:val="center"/>
        <w:rPr>
          <w:lang w:val="en-US" w:eastAsia="ko-KR"/>
        </w:rPr>
      </w:pPr>
      <w:r>
        <w:rPr>
          <w:lang w:val="en-US" w:eastAsia="ko-KR"/>
        </w:rPr>
        <w:t>Figure 2. Example for SRI/TPMI indication method based on one SRS resource set</w:t>
      </w:r>
    </w:p>
    <w:p w:rsidR="00983171" w:rsidRDefault="00983171" w:rsidP="00983171">
      <w:pPr>
        <w:pStyle w:val="0Maintext"/>
        <w:contextualSpacing/>
        <w:rPr>
          <w:lang w:val="en-US" w:eastAsia="ko-KR"/>
        </w:rPr>
      </w:pPr>
      <w:r>
        <w:rPr>
          <w:lang w:val="en-US" w:eastAsia="ko-KR"/>
        </w:rPr>
        <w:t xml:space="preserve">The first SRS resource group in a set is for the first panel and the other SRS resource group in a set is for the second panel. Based on the configuration of a SRS resource set for STx2P, one SRI can indicate a pair of SRS resources, where the indicated SRS resource(s) in the first group is for UL transmission via first panel and the indicated SRS resource(s) in the second group is for UL transmission via second panel. For sTRP STx2P with CB PUSCH, one SRI can indicate a SRI for a pair of two SRS resources (each resource for each panel) and one TPMI, which is applied for SRS ports across two indicated SRS resources. With this scheme, the layer(s) scheduled for PUSCH can be precoded by one joint precoder across two panels and it means sTRP PUSCH transmission across two panels can be supported in SFN manner. On the other hand, if one SRS resource instead of SRS resource pair can be indicated by a SRI field, this indication can be utilized to schedule single panel transmission (panel selection). </w:t>
      </w:r>
    </w:p>
    <w:p w:rsidR="00983171" w:rsidRDefault="00983171" w:rsidP="00983171">
      <w:pPr>
        <w:pStyle w:val="0Maintext"/>
        <w:ind w:firstLine="357"/>
        <w:contextualSpacing/>
        <w:rPr>
          <w:lang w:val="en-US" w:eastAsia="ko-KR"/>
        </w:rPr>
      </w:pPr>
      <w:r>
        <w:rPr>
          <w:rFonts w:hint="eastAsia"/>
          <w:lang w:val="en-US" w:eastAsia="ko-KR"/>
        </w:rPr>
        <w:t xml:space="preserve">The second method is </w:t>
      </w:r>
      <w:r>
        <w:rPr>
          <w:lang w:val="en-US" w:eastAsia="ko-KR"/>
        </w:rPr>
        <w:t xml:space="preserve">SRI/TPMI indication method </w:t>
      </w:r>
      <w:r>
        <w:rPr>
          <w:rFonts w:hint="eastAsia"/>
          <w:lang w:val="en-US" w:eastAsia="ko-KR"/>
        </w:rPr>
        <w:t>for mTRP</w:t>
      </w:r>
      <w:r>
        <w:rPr>
          <w:lang w:val="en-US" w:eastAsia="ko-KR"/>
        </w:rPr>
        <w:t>.</w:t>
      </w:r>
      <w:r>
        <w:rPr>
          <w:rFonts w:hint="eastAsia"/>
          <w:lang w:val="en-US" w:eastAsia="ko-KR"/>
        </w:rPr>
        <w:t xml:space="preserve"> </w:t>
      </w:r>
      <w:r>
        <w:rPr>
          <w:lang w:val="en-US" w:eastAsia="ko-KR"/>
        </w:rPr>
        <w:t xml:space="preserve">Two SRS resource sets can be configured with up to two SRS resource groups per set. Figure 3 represents the example of SRS resource set configuration and SRI/TPMI indication. The first SRS resource set can be associated with TRP1 (first indicated TCI state) and the other associated with TRP2 (second indicated TCI state). In addition, different layer(s) can be mapped to each panel and different data will be transmitted via two panels towards two TRPs in SDM manner. For this method, single DCI can indicate up to two SRIs and up to two TPMIs (if CB based PUSCH is supported). </w:t>
      </w:r>
    </w:p>
    <w:p w:rsidR="00983171" w:rsidRPr="00BB0E2A" w:rsidRDefault="00983171" w:rsidP="00983171">
      <w:pPr>
        <w:pStyle w:val="0Maintext"/>
        <w:ind w:firstLine="357"/>
        <w:contextualSpacing/>
        <w:rPr>
          <w:lang w:val="en-US" w:eastAsia="ko-KR"/>
        </w:rPr>
      </w:pPr>
    </w:p>
    <w:p w:rsidR="00983171" w:rsidRDefault="00983171" w:rsidP="00983171">
      <w:pPr>
        <w:pStyle w:val="0Maintext"/>
        <w:ind w:firstLine="357"/>
        <w:contextualSpacing/>
        <w:jc w:val="center"/>
        <w:rPr>
          <w:lang w:val="en-US" w:eastAsia="ko-KR"/>
        </w:rPr>
      </w:pPr>
      <w:r w:rsidRPr="000B0B16">
        <w:rPr>
          <w:noProof/>
          <w:lang w:val="en-US" w:eastAsia="ko-KR"/>
        </w:rPr>
        <w:lastRenderedPageBreak/>
        <w:drawing>
          <wp:inline distT="0" distB="0" distL="0" distR="0" wp14:anchorId="5E12538D" wp14:editId="001C2A15">
            <wp:extent cx="4921250" cy="1532689"/>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8"/>
                    <a:stretch>
                      <a:fillRect/>
                    </a:stretch>
                  </pic:blipFill>
                  <pic:spPr>
                    <a:xfrm>
                      <a:off x="0" y="0"/>
                      <a:ext cx="4938240" cy="1537980"/>
                    </a:xfrm>
                    <a:prstGeom prst="rect">
                      <a:avLst/>
                    </a:prstGeom>
                  </pic:spPr>
                </pic:pic>
              </a:graphicData>
            </a:graphic>
          </wp:inline>
        </w:drawing>
      </w:r>
    </w:p>
    <w:p w:rsidR="00983171" w:rsidRDefault="00983171" w:rsidP="00983171">
      <w:pPr>
        <w:pStyle w:val="0Maintext"/>
        <w:ind w:firstLine="357"/>
        <w:contextualSpacing/>
        <w:jc w:val="center"/>
        <w:rPr>
          <w:lang w:val="en-US" w:eastAsia="ko-KR"/>
        </w:rPr>
      </w:pPr>
      <w:r>
        <w:rPr>
          <w:lang w:val="en-US" w:eastAsia="ko-KR"/>
        </w:rPr>
        <w:t>Figure 3. Example for SRI/TPMI indication method based on two SRS resource sets</w:t>
      </w:r>
    </w:p>
    <w:p w:rsidR="00983171" w:rsidRDefault="00983171" w:rsidP="00983171">
      <w:pPr>
        <w:pStyle w:val="0Maintext"/>
        <w:ind w:firstLine="357"/>
        <w:contextualSpacing/>
        <w:rPr>
          <w:lang w:val="en-US" w:eastAsia="ko-KR"/>
        </w:rPr>
      </w:pPr>
    </w:p>
    <w:p w:rsidR="00983171" w:rsidRDefault="00983171" w:rsidP="00983171">
      <w:pPr>
        <w:pStyle w:val="0Maintext"/>
        <w:ind w:firstLine="357"/>
        <w:contextualSpacing/>
        <w:rPr>
          <w:lang w:val="en-US" w:eastAsia="ko-KR"/>
        </w:rPr>
      </w:pPr>
      <w:r>
        <w:rPr>
          <w:rFonts w:hint="eastAsia"/>
          <w:lang w:val="en-US" w:eastAsia="ko-KR"/>
        </w:rPr>
        <w:t xml:space="preserve">By using first and second methods, we can </w:t>
      </w:r>
      <w:r>
        <w:rPr>
          <w:lang w:val="en-US" w:eastAsia="ko-KR"/>
        </w:rPr>
        <w:t>schedule</w:t>
      </w:r>
      <w:r>
        <w:rPr>
          <w:rFonts w:hint="eastAsia"/>
          <w:lang w:val="en-US" w:eastAsia="ko-KR"/>
        </w:rPr>
        <w:t xml:space="preserve"> both sTRP and mTRP STx2P</w:t>
      </w:r>
      <w:r>
        <w:rPr>
          <w:lang w:val="en-US" w:eastAsia="ko-KR"/>
        </w:rPr>
        <w:t>, and support dynamic switching for flexible scheduling. Figure 4 shows how to indicate PUSCH transmission among different PUSCH transmission schemes. Depending on the SRS resource set indicator field and indicated SRS resource(s) via SRI field, one of schemes (mTRP STx2P, sTRP STx2P or sTRP panel selection) can be scheduled.</w:t>
      </w:r>
    </w:p>
    <w:p w:rsidR="00983171" w:rsidRDefault="00983171" w:rsidP="00983171">
      <w:pPr>
        <w:pStyle w:val="0Maintext"/>
        <w:ind w:firstLine="357"/>
        <w:contextualSpacing/>
        <w:rPr>
          <w:lang w:val="en-US" w:eastAsia="ko-KR"/>
        </w:rPr>
      </w:pPr>
    </w:p>
    <w:p w:rsidR="00983171" w:rsidRDefault="00983171" w:rsidP="00983171">
      <w:pPr>
        <w:pStyle w:val="0Maintext"/>
        <w:ind w:firstLine="357"/>
        <w:contextualSpacing/>
        <w:jc w:val="center"/>
        <w:rPr>
          <w:lang w:val="en-US" w:eastAsia="ko-KR"/>
        </w:rPr>
      </w:pPr>
      <w:r w:rsidRPr="00864062">
        <w:rPr>
          <w:noProof/>
          <w:lang w:val="en-US" w:eastAsia="ko-KR"/>
        </w:rPr>
        <w:drawing>
          <wp:inline distT="0" distB="0" distL="0" distR="0" wp14:anchorId="538723A5" wp14:editId="026F5DBE">
            <wp:extent cx="2845613" cy="1519268"/>
            <wp:effectExtent l="0" t="0" r="0" b="0"/>
            <wp:docPr id="67" name="그림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그림 66"/>
                    <pic:cNvPicPr>
                      <a:picLocks noChangeAspect="1"/>
                    </pic:cNvPicPr>
                  </pic:nvPicPr>
                  <pic:blipFill>
                    <a:blip r:embed="rId9"/>
                    <a:stretch>
                      <a:fillRect/>
                    </a:stretch>
                  </pic:blipFill>
                  <pic:spPr>
                    <a:xfrm>
                      <a:off x="0" y="0"/>
                      <a:ext cx="2869024" cy="1531767"/>
                    </a:xfrm>
                    <a:prstGeom prst="rect">
                      <a:avLst/>
                    </a:prstGeom>
                  </pic:spPr>
                </pic:pic>
              </a:graphicData>
            </a:graphic>
          </wp:inline>
        </w:drawing>
      </w:r>
    </w:p>
    <w:p w:rsidR="00983171" w:rsidRDefault="00983171" w:rsidP="00983171">
      <w:pPr>
        <w:pStyle w:val="0Maintext"/>
        <w:ind w:firstLine="357"/>
        <w:contextualSpacing/>
        <w:jc w:val="center"/>
        <w:rPr>
          <w:lang w:val="en-US" w:eastAsia="ko-KR"/>
        </w:rPr>
      </w:pPr>
      <w:r>
        <w:rPr>
          <w:lang w:val="en-US" w:eastAsia="ko-KR"/>
        </w:rPr>
        <w:t xml:space="preserve">Figure 4. </w:t>
      </w:r>
      <w:r>
        <w:rPr>
          <w:rFonts w:hint="eastAsia"/>
          <w:lang w:val="en-US" w:eastAsia="ko-KR"/>
        </w:rPr>
        <w:t xml:space="preserve">Indication of PUSCH transmission scheme via SRS resource set indicator and SRI </w:t>
      </w:r>
    </w:p>
    <w:p w:rsidR="00983171" w:rsidRDefault="00983171" w:rsidP="00983171">
      <w:pPr>
        <w:pStyle w:val="0Maintext"/>
        <w:ind w:firstLine="357"/>
        <w:contextualSpacing/>
        <w:rPr>
          <w:lang w:val="en-US" w:eastAsia="ko-KR"/>
        </w:rPr>
      </w:pPr>
    </w:p>
    <w:p w:rsidR="00983171" w:rsidRDefault="00983171" w:rsidP="00983171">
      <w:pPr>
        <w:pStyle w:val="0Maintext"/>
        <w:ind w:firstLine="357"/>
        <w:contextualSpacing/>
        <w:rPr>
          <w:lang w:val="en-US" w:eastAsia="ko-KR"/>
        </w:rPr>
      </w:pPr>
      <w:r>
        <w:rPr>
          <w:lang w:val="en-US" w:eastAsia="ko-KR"/>
        </w:rPr>
        <w:t>Therefore, we propose to support two SRS resource sets with up to two SRS resource groups in a set for both mTRP STx2P and sTRP STx2P. In addition, support dynamic switching between sTRP STx2P and mTRP STx2P as follow:</w:t>
      </w:r>
    </w:p>
    <w:p w:rsidR="00983171" w:rsidRDefault="00983171" w:rsidP="00983171">
      <w:pPr>
        <w:pStyle w:val="0Maintext"/>
        <w:numPr>
          <w:ilvl w:val="0"/>
          <w:numId w:val="9"/>
        </w:numPr>
        <w:rPr>
          <w:lang w:val="en-US" w:eastAsia="ko-KR"/>
        </w:rPr>
      </w:pPr>
      <w:r>
        <w:rPr>
          <w:lang w:val="en-US"/>
        </w:rPr>
        <w:t xml:space="preserve">sTRP STx2P (one SRS resource set based): one SRI indicating a pair of SRS resources </w:t>
      </w:r>
      <w:r w:rsidRPr="00EA2707">
        <w:rPr>
          <w:lang w:val="en-US"/>
        </w:rPr>
        <w:t>(one from each SRS resource group)</w:t>
      </w:r>
      <w:r>
        <w:rPr>
          <w:lang w:val="en-US"/>
        </w:rPr>
        <w:t xml:space="preserve"> for a SRS resource set/one TPMI indicating a precoder across all SRS ports for indicated SRS resources (if CB based PUSCH is supported) (e.g. sTRP SFN STx2P)</w:t>
      </w:r>
    </w:p>
    <w:p w:rsidR="00983171" w:rsidRDefault="00983171" w:rsidP="00983171">
      <w:pPr>
        <w:pStyle w:val="0Maintext"/>
        <w:numPr>
          <w:ilvl w:val="0"/>
          <w:numId w:val="9"/>
        </w:numPr>
        <w:rPr>
          <w:lang w:val="en-US" w:eastAsia="ko-KR"/>
        </w:rPr>
      </w:pPr>
      <w:r>
        <w:rPr>
          <w:rFonts w:hint="eastAsia"/>
          <w:lang w:val="en-US" w:eastAsia="ko-KR"/>
        </w:rPr>
        <w:t xml:space="preserve">mTRP STx2P (two SRS resource sets based): </w:t>
      </w:r>
      <w:r>
        <w:rPr>
          <w:lang w:val="en-US"/>
        </w:rPr>
        <w:t>two SRIs indicating each SRS resource for each SRS resource set (each TRP)/two TPMIs indicating each precoder for each indicated SRS resource (if CB based PUSCH is supported) (e.g. mTRP SDM STx2P)</w:t>
      </w:r>
    </w:p>
    <w:p w:rsidR="00983171" w:rsidRDefault="00983171" w:rsidP="00983171">
      <w:pPr>
        <w:pStyle w:val="0Maintext"/>
        <w:ind w:firstLine="357"/>
        <w:contextualSpacing/>
        <w:rPr>
          <w:lang w:val="en-US" w:eastAsia="ko-KR"/>
        </w:rPr>
      </w:pPr>
    </w:p>
    <w:p w:rsidR="00983171" w:rsidRPr="003B2960" w:rsidRDefault="00983171" w:rsidP="00983171">
      <w:pPr>
        <w:pStyle w:val="0Maintext"/>
        <w:ind w:firstLine="0"/>
        <w:contextualSpacing/>
        <w:rPr>
          <w:lang w:val="en-US" w:eastAsia="ko-KR"/>
        </w:rPr>
      </w:pPr>
      <w:r w:rsidRPr="00EC62A3">
        <w:rPr>
          <w:b/>
          <w:i/>
          <w:lang w:val="en-US" w:eastAsia="ko-KR"/>
        </w:rPr>
        <w:t xml:space="preserve">Proposal </w:t>
      </w:r>
      <w:r>
        <w:rPr>
          <w:b/>
          <w:i/>
          <w:lang w:val="en-US" w:eastAsia="ko-KR"/>
        </w:rPr>
        <w:t>3</w:t>
      </w:r>
      <w:r w:rsidRPr="00EC62A3">
        <w:rPr>
          <w:i/>
          <w:lang w:val="en-US" w:eastAsia="ko-KR"/>
        </w:rPr>
        <w:t>:</w:t>
      </w:r>
      <w:r>
        <w:rPr>
          <w:i/>
          <w:lang w:val="en-US" w:eastAsia="ko-KR"/>
        </w:rPr>
        <w:t xml:space="preserve"> For both mTRP STx2P and sTRP STx2P, support two SRS resource sets that each SRS resource set can include up to two SRS resource groups. </w:t>
      </w:r>
      <w:r w:rsidRPr="003B2960">
        <w:rPr>
          <w:i/>
          <w:lang w:val="en-US" w:eastAsia="ko-KR"/>
        </w:rPr>
        <w:t>In addition, support dynamic switching between sTRP STx2P and mTRP STx2P as follow:</w:t>
      </w:r>
    </w:p>
    <w:p w:rsidR="00983171" w:rsidRPr="003B2960" w:rsidRDefault="00983171" w:rsidP="00983171">
      <w:pPr>
        <w:pStyle w:val="0Maintext"/>
        <w:numPr>
          <w:ilvl w:val="0"/>
          <w:numId w:val="10"/>
        </w:numPr>
        <w:rPr>
          <w:i/>
          <w:lang w:val="en-US" w:eastAsia="ko-KR"/>
        </w:rPr>
      </w:pPr>
      <w:r w:rsidRPr="003B2960">
        <w:rPr>
          <w:rFonts w:cs="Times New Roman"/>
          <w:i/>
          <w:lang w:val="en-US" w:eastAsia="ko-KR"/>
        </w:rPr>
        <w:t>sTRP STx2P (one SRS resource set based): one SRI indicating a pair of SRS resources</w:t>
      </w:r>
      <w:r>
        <w:rPr>
          <w:rFonts w:cs="Times New Roman"/>
          <w:i/>
          <w:lang w:val="en-US" w:eastAsia="ko-KR"/>
        </w:rPr>
        <w:t xml:space="preserve"> (one from each SRS resource group)</w:t>
      </w:r>
      <w:r w:rsidRPr="003B2960">
        <w:rPr>
          <w:rFonts w:cs="Times New Roman"/>
          <w:i/>
          <w:lang w:val="en-US" w:eastAsia="ko-KR"/>
        </w:rPr>
        <w:t xml:space="preserve"> for a SRS resource set/one TPMI indicating a precoder across all SRS ports for indicated SRS resources (if CB based PUSCH is supported)</w:t>
      </w:r>
      <w:r>
        <w:rPr>
          <w:rFonts w:cs="Times New Roman"/>
          <w:i/>
          <w:lang w:val="en-US" w:eastAsia="ko-KR"/>
        </w:rPr>
        <w:t xml:space="preserve"> </w:t>
      </w:r>
      <w:r w:rsidRPr="0097489A">
        <w:rPr>
          <w:rFonts w:cs="Times New Roman"/>
          <w:i/>
          <w:lang w:val="en-US" w:eastAsia="ko-KR"/>
        </w:rPr>
        <w:t>(e.g. sTRP SFN STx2P)</w:t>
      </w:r>
    </w:p>
    <w:p w:rsidR="00983171" w:rsidRDefault="00983171" w:rsidP="00983171">
      <w:pPr>
        <w:pStyle w:val="0Maintext"/>
        <w:numPr>
          <w:ilvl w:val="0"/>
          <w:numId w:val="10"/>
        </w:numPr>
        <w:rPr>
          <w:i/>
          <w:lang w:val="en-US" w:eastAsia="ko-KR"/>
        </w:rPr>
      </w:pPr>
      <w:r w:rsidRPr="003B2960">
        <w:rPr>
          <w:i/>
          <w:lang w:val="en-US" w:eastAsia="ko-KR"/>
        </w:rPr>
        <w:t>mTRP STx2P (two SRS resource sets based): two SRIs indicating each SRS resource for each SRS resource set (each TRP)/two TPMIs indicating each precoder for each indicated SRS resource (if CB based PUSCH is supported)</w:t>
      </w:r>
      <w:r>
        <w:rPr>
          <w:i/>
          <w:lang w:val="en-US" w:eastAsia="ko-KR"/>
        </w:rPr>
        <w:t xml:space="preserve"> </w:t>
      </w:r>
      <w:r w:rsidRPr="0097489A">
        <w:rPr>
          <w:i/>
          <w:lang w:val="en-US" w:eastAsia="ko-KR"/>
        </w:rPr>
        <w:t>(e.g. mTRP SDM STx2P)</w:t>
      </w:r>
    </w:p>
    <w:p w:rsidR="00983171" w:rsidRPr="002106AD" w:rsidRDefault="00983171" w:rsidP="00983171">
      <w:pPr>
        <w:pStyle w:val="0Maintext"/>
        <w:ind w:firstLine="0"/>
        <w:rPr>
          <w:i/>
          <w:lang w:val="en-US" w:eastAsia="ko-KR"/>
        </w:rPr>
      </w:pPr>
    </w:p>
    <w:p w:rsidR="00983171" w:rsidRPr="001675FD" w:rsidRDefault="00983171" w:rsidP="00983171">
      <w:pPr>
        <w:pStyle w:val="2"/>
        <w:numPr>
          <w:ilvl w:val="1"/>
          <w:numId w:val="2"/>
        </w:numPr>
        <w:rPr>
          <w:lang w:val="en-US"/>
        </w:rPr>
      </w:pPr>
      <w:r>
        <w:rPr>
          <w:rFonts w:hint="eastAsia"/>
          <w:lang w:val="en-US"/>
        </w:rPr>
        <w:lastRenderedPageBreak/>
        <w:t xml:space="preserve">DMRS indication for sDCI based </w:t>
      </w:r>
      <w:r>
        <w:rPr>
          <w:lang w:val="en-US"/>
        </w:rPr>
        <w:t>mTRP SDM STx2P</w:t>
      </w:r>
    </w:p>
    <w:p w:rsidR="00983171" w:rsidRDefault="00983171" w:rsidP="00983171">
      <w:pPr>
        <w:pStyle w:val="0Maintext"/>
        <w:ind w:firstLine="357"/>
        <w:contextualSpacing/>
        <w:rPr>
          <w:lang w:val="en-US" w:eastAsia="ko-KR"/>
        </w:rPr>
      </w:pPr>
      <w:r>
        <w:rPr>
          <w:lang w:val="en-US" w:eastAsia="ko-KR"/>
        </w:rPr>
        <w:t>For DMRS indication for sDCI based mTRP SDM STx2P, RAN1 agreed following agreement in previous meeting [2] [3].</w:t>
      </w:r>
    </w:p>
    <w:tbl>
      <w:tblPr>
        <w:tblStyle w:val="a4"/>
        <w:tblW w:w="0" w:type="auto"/>
        <w:tblLook w:val="04A0" w:firstRow="1" w:lastRow="0" w:firstColumn="1" w:lastColumn="0" w:noHBand="0" w:noVBand="1"/>
      </w:tblPr>
      <w:tblGrid>
        <w:gridCol w:w="9629"/>
      </w:tblGrid>
      <w:tr w:rsidR="00983171" w:rsidTr="00E410D2">
        <w:tc>
          <w:tcPr>
            <w:tcW w:w="9629" w:type="dxa"/>
          </w:tcPr>
          <w:p w:rsidR="00983171" w:rsidRPr="00C56F82" w:rsidRDefault="00983171" w:rsidP="00E410D2">
            <w:pPr>
              <w:snapToGrid w:val="0"/>
              <w:rPr>
                <w:rFonts w:eastAsia="바탕"/>
                <w:sz w:val="20"/>
                <w:highlight w:val="green"/>
              </w:rPr>
            </w:pPr>
            <w:r w:rsidRPr="00C56F82">
              <w:rPr>
                <w:rFonts w:eastAsia="바탕"/>
                <w:b/>
                <w:bCs/>
                <w:sz w:val="20"/>
                <w:highlight w:val="green"/>
              </w:rPr>
              <w:t>Agreement</w:t>
            </w:r>
          </w:p>
          <w:p w:rsidR="00983171" w:rsidRPr="00C56F82" w:rsidRDefault="00983171" w:rsidP="00E410D2">
            <w:pPr>
              <w:snapToGrid w:val="0"/>
              <w:rPr>
                <w:rFonts w:eastAsia="바탕"/>
                <w:sz w:val="20"/>
              </w:rPr>
            </w:pPr>
            <w:r w:rsidRPr="00C56F82">
              <w:rPr>
                <w:rFonts w:eastAsia="바탕"/>
                <w:sz w:val="20"/>
              </w:rPr>
              <w:t>To enhance the DMRS port indication for SDM scheme of STxMP PUSCH transmission in single-DCI based mTRP system, study the following aspects:</w:t>
            </w:r>
          </w:p>
          <w:p w:rsidR="00983171" w:rsidRPr="00C56F82" w:rsidRDefault="00983171" w:rsidP="00983171">
            <w:pPr>
              <w:numPr>
                <w:ilvl w:val="0"/>
                <w:numId w:val="11"/>
              </w:numPr>
              <w:snapToGrid w:val="0"/>
              <w:contextualSpacing/>
              <w:rPr>
                <w:rFonts w:ascii="Times" w:eastAsia="바탕" w:hAnsi="Times"/>
                <w:sz w:val="20"/>
                <w:lang w:eastAsia="x-none"/>
              </w:rPr>
            </w:pPr>
            <w:r w:rsidRPr="00C56F82">
              <w:rPr>
                <w:rFonts w:ascii="Times" w:eastAsia="바탕" w:hAnsi="Times"/>
                <w:sz w:val="20"/>
                <w:lang w:eastAsia="x-none"/>
              </w:rPr>
              <w:t>Whether the indicated DMRS ports can be in different or same CDM group?</w:t>
            </w:r>
          </w:p>
          <w:p w:rsidR="00983171" w:rsidRPr="00C56F82" w:rsidRDefault="00983171" w:rsidP="00983171">
            <w:pPr>
              <w:numPr>
                <w:ilvl w:val="0"/>
                <w:numId w:val="11"/>
              </w:numPr>
              <w:snapToGrid w:val="0"/>
              <w:contextualSpacing/>
              <w:rPr>
                <w:rFonts w:ascii="Times" w:eastAsia="바탕" w:hAnsi="Times"/>
                <w:sz w:val="20"/>
                <w:lang w:eastAsia="x-none"/>
              </w:rPr>
            </w:pPr>
            <w:r w:rsidRPr="00C56F82">
              <w:rPr>
                <w:rFonts w:ascii="Times" w:eastAsia="바탕" w:hAnsi="Times"/>
                <w:sz w:val="20"/>
                <w:lang w:eastAsia="x-none"/>
              </w:rPr>
              <w:t>How to determine the port partition among PUSCH layers.</w:t>
            </w:r>
          </w:p>
          <w:p w:rsidR="00983171" w:rsidRPr="00C56F82" w:rsidRDefault="00983171" w:rsidP="00983171">
            <w:pPr>
              <w:numPr>
                <w:ilvl w:val="0"/>
                <w:numId w:val="11"/>
              </w:numPr>
              <w:snapToGrid w:val="0"/>
              <w:contextualSpacing/>
              <w:rPr>
                <w:rFonts w:ascii="Times" w:eastAsia="바탕" w:hAnsi="Times"/>
                <w:sz w:val="20"/>
                <w:lang w:eastAsia="x-none"/>
              </w:rPr>
            </w:pPr>
            <w:r w:rsidRPr="00C56F82">
              <w:rPr>
                <w:rFonts w:ascii="Times" w:eastAsia="바탕" w:hAnsi="Times"/>
                <w:sz w:val="20"/>
                <w:lang w:eastAsia="x-none"/>
              </w:rPr>
              <w:t>How to map DMRS ports with PUSCH layers from different panels.</w:t>
            </w:r>
          </w:p>
          <w:p w:rsidR="00983171" w:rsidRPr="00C56F82" w:rsidRDefault="00983171" w:rsidP="00983171">
            <w:pPr>
              <w:numPr>
                <w:ilvl w:val="0"/>
                <w:numId w:val="11"/>
              </w:numPr>
              <w:snapToGrid w:val="0"/>
              <w:contextualSpacing/>
              <w:rPr>
                <w:rFonts w:ascii="Times" w:eastAsia="바탕" w:hAnsi="Times"/>
                <w:sz w:val="20"/>
                <w:lang w:eastAsia="x-none"/>
              </w:rPr>
            </w:pPr>
            <w:r w:rsidRPr="00C56F82">
              <w:rPr>
                <w:rFonts w:ascii="Times" w:eastAsia="바탕" w:hAnsi="Times"/>
                <w:sz w:val="20"/>
                <w:lang w:eastAsia="x-none"/>
              </w:rPr>
              <w:t>Whether to use one DCI field or two DCI fields for DMRS port indication</w:t>
            </w:r>
          </w:p>
          <w:p w:rsidR="00983171" w:rsidRPr="00C56F82" w:rsidRDefault="00983171" w:rsidP="00983171">
            <w:pPr>
              <w:numPr>
                <w:ilvl w:val="0"/>
                <w:numId w:val="11"/>
              </w:numPr>
              <w:snapToGrid w:val="0"/>
              <w:contextualSpacing/>
              <w:rPr>
                <w:rFonts w:ascii="Times" w:eastAsia="바탕" w:hAnsi="Times"/>
                <w:sz w:val="20"/>
                <w:lang w:eastAsia="x-none"/>
              </w:rPr>
            </w:pPr>
            <w:r w:rsidRPr="00C56F82">
              <w:rPr>
                <w:rFonts w:ascii="Times" w:eastAsia="바탕" w:hAnsi="Times"/>
                <w:sz w:val="20"/>
                <w:lang w:eastAsia="x-none"/>
              </w:rPr>
              <w:t>How to indicate layer combination that is used to partition DMRS port partition among PUSCH layers.</w:t>
            </w:r>
          </w:p>
          <w:p w:rsidR="00983171" w:rsidRPr="00C56F82" w:rsidRDefault="00983171" w:rsidP="00983171">
            <w:pPr>
              <w:numPr>
                <w:ilvl w:val="0"/>
                <w:numId w:val="11"/>
              </w:numPr>
              <w:snapToGrid w:val="0"/>
              <w:contextualSpacing/>
              <w:rPr>
                <w:rFonts w:ascii="Times" w:eastAsia="바탕" w:hAnsi="Times"/>
                <w:sz w:val="20"/>
                <w:lang w:eastAsia="x-none"/>
              </w:rPr>
            </w:pPr>
            <w:r w:rsidRPr="00C56F82">
              <w:rPr>
                <w:rFonts w:ascii="Times" w:eastAsia="바탕" w:hAnsi="Times"/>
                <w:sz w:val="20"/>
                <w:lang w:eastAsia="x-none"/>
              </w:rPr>
              <w:t>Other aspects are not precluded.</w:t>
            </w:r>
          </w:p>
          <w:p w:rsidR="00983171" w:rsidRDefault="00983171" w:rsidP="00E410D2">
            <w:pPr>
              <w:rPr>
                <w:rFonts w:ascii="Times" w:eastAsia="바탕" w:hAnsi="Times" w:cs="Times"/>
                <w:b/>
                <w:bCs/>
                <w:sz w:val="20"/>
                <w:highlight w:val="green"/>
                <w:lang w:val="en-CA" w:eastAsia="zh-CN"/>
              </w:rPr>
            </w:pPr>
          </w:p>
          <w:p w:rsidR="00983171" w:rsidRPr="00AC4299" w:rsidRDefault="00983171" w:rsidP="00E410D2">
            <w:pPr>
              <w:rPr>
                <w:rFonts w:ascii="Times" w:eastAsia="바탕" w:hAnsi="Times" w:cs="Times"/>
                <w:b/>
                <w:bCs/>
                <w:sz w:val="20"/>
                <w:highlight w:val="green"/>
                <w:lang w:val="en-CA" w:eastAsia="zh-CN"/>
              </w:rPr>
            </w:pPr>
            <w:r w:rsidRPr="00AC4299">
              <w:rPr>
                <w:rFonts w:ascii="Times" w:eastAsia="바탕" w:hAnsi="Times" w:cs="Times"/>
                <w:b/>
                <w:bCs/>
                <w:sz w:val="20"/>
                <w:highlight w:val="green"/>
                <w:lang w:val="en-CA" w:eastAsia="zh-CN"/>
              </w:rPr>
              <w:t>Agreement</w:t>
            </w:r>
          </w:p>
          <w:p w:rsidR="00983171" w:rsidRPr="00AC4299" w:rsidRDefault="00983171" w:rsidP="00983171">
            <w:pPr>
              <w:numPr>
                <w:ilvl w:val="0"/>
                <w:numId w:val="12"/>
              </w:numPr>
              <w:jc w:val="both"/>
              <w:rPr>
                <w:rFonts w:ascii="Times" w:eastAsia="바탕" w:hAnsi="Times" w:cs="Times"/>
                <w:bCs/>
                <w:sz w:val="20"/>
                <w:lang w:val="en-CA" w:eastAsia="zh-CN"/>
              </w:rPr>
            </w:pPr>
            <w:r w:rsidRPr="00AC4299">
              <w:rPr>
                <w:rFonts w:ascii="Times" w:eastAsia="바탕" w:hAnsi="Times" w:cs="Times"/>
                <w:bCs/>
                <w:sz w:val="20"/>
                <w:lang w:val="en-CA" w:eastAsia="zh-CN"/>
              </w:rPr>
              <w:t>Reuse the DCI field ‘Antenna Ports’ in DCI format 0_1 and 0_2 to indicate DMRS ports for SDM scheme of single-DCI based STxMP PUSCH:</w:t>
            </w:r>
          </w:p>
          <w:p w:rsidR="00983171" w:rsidRPr="00AC4299" w:rsidRDefault="00983171" w:rsidP="00983171">
            <w:pPr>
              <w:numPr>
                <w:ilvl w:val="1"/>
                <w:numId w:val="12"/>
              </w:numPr>
              <w:jc w:val="both"/>
              <w:rPr>
                <w:rFonts w:ascii="Times" w:eastAsia="바탕" w:hAnsi="Times" w:cs="Times"/>
                <w:bCs/>
                <w:sz w:val="20"/>
                <w:lang w:val="en-CA" w:eastAsia="zh-CN"/>
              </w:rPr>
            </w:pPr>
            <w:r w:rsidRPr="00AC4299">
              <w:rPr>
                <w:rFonts w:ascii="Times" w:eastAsia="바탕" w:hAnsi="Times" w:cs="Times"/>
                <w:bCs/>
                <w:sz w:val="20"/>
                <w:lang w:val="en-CA" w:eastAsia="zh-CN"/>
              </w:rPr>
              <w:t>The total numbers of layers, L, indicated by two TPMI fields of CB PUSCH or two SRI fields of NCB PUSCH is used to determine the DMRS port indication table.</w:t>
            </w:r>
          </w:p>
          <w:p w:rsidR="00983171" w:rsidRPr="00AC4299" w:rsidRDefault="00983171" w:rsidP="00983171">
            <w:pPr>
              <w:numPr>
                <w:ilvl w:val="1"/>
                <w:numId w:val="12"/>
              </w:numPr>
              <w:jc w:val="both"/>
              <w:rPr>
                <w:rFonts w:ascii="Times" w:eastAsia="바탕" w:hAnsi="Times" w:cs="Times"/>
                <w:bCs/>
                <w:sz w:val="20"/>
                <w:lang w:val="en-CA" w:eastAsia="zh-CN"/>
              </w:rPr>
            </w:pPr>
            <w:r w:rsidRPr="00AC4299">
              <w:rPr>
                <w:rFonts w:ascii="Times" w:eastAsia="바탕" w:hAnsi="Times" w:cs="Times"/>
                <w:bCs/>
                <w:sz w:val="20"/>
                <w:lang w:val="en-CA" w:eastAsia="zh-CN"/>
              </w:rPr>
              <w:t>L1 of the indicated DMRS ports are associated with the L1 PUSCH layers which are indicated by the first TPMI field for CB PUSCH or the first SRI field for NCB PUSCH and the rest L- L1 of the indicated DMRS ports are associated with the L-L1 PUSCH layers which are indicated by the second TPMI field for CB PUSCH or the second SRI field for the NCB PUSCH.</w:t>
            </w:r>
          </w:p>
          <w:p w:rsidR="00983171" w:rsidRPr="00AC4299" w:rsidRDefault="00983171" w:rsidP="00983171">
            <w:pPr>
              <w:numPr>
                <w:ilvl w:val="2"/>
                <w:numId w:val="12"/>
              </w:numPr>
              <w:jc w:val="both"/>
              <w:rPr>
                <w:rFonts w:ascii="Times" w:eastAsia="바탕" w:hAnsi="Times" w:cs="Times"/>
                <w:bCs/>
                <w:sz w:val="20"/>
                <w:lang w:val="en-CA" w:eastAsia="zh-CN"/>
              </w:rPr>
            </w:pPr>
            <w:r w:rsidRPr="00AC4299">
              <w:rPr>
                <w:rFonts w:ascii="Times" w:eastAsia="바탕" w:hAnsi="Times" w:cs="Times"/>
                <w:bCs/>
                <w:sz w:val="20"/>
                <w:lang w:val="en-CA" w:eastAsia="zh-CN"/>
              </w:rPr>
              <w:t>FFS: how to partition the indicated DMRS ports among the PUSCH layers.</w:t>
            </w:r>
          </w:p>
          <w:p w:rsidR="00983171" w:rsidRPr="00AC4299" w:rsidRDefault="00983171" w:rsidP="00983171">
            <w:pPr>
              <w:numPr>
                <w:ilvl w:val="0"/>
                <w:numId w:val="12"/>
              </w:numPr>
              <w:jc w:val="both"/>
              <w:rPr>
                <w:rFonts w:ascii="Times" w:eastAsia="바탕" w:hAnsi="Times" w:cs="Times"/>
                <w:bCs/>
                <w:sz w:val="20"/>
                <w:lang w:val="en-CA" w:eastAsia="zh-CN"/>
              </w:rPr>
            </w:pPr>
            <w:r w:rsidRPr="00AC4299">
              <w:rPr>
                <w:rFonts w:ascii="Times" w:eastAsia="바탕" w:hAnsi="Times" w:cs="Times"/>
                <w:bCs/>
                <w:sz w:val="20"/>
                <w:lang w:val="en-CA" w:eastAsia="zh-CN"/>
              </w:rPr>
              <w:t xml:space="preserve">Down-select one from the following two Alts for SDM scheme in </w:t>
            </w:r>
            <w:r w:rsidRPr="00AC4299">
              <w:rPr>
                <w:rFonts w:ascii="Times" w:eastAsia="바탕" w:hAnsi="Times" w:cs="Times"/>
                <w:bCs/>
                <w:color w:val="FF0000"/>
                <w:sz w:val="20"/>
                <w:lang w:val="en-CA" w:eastAsia="zh-CN"/>
              </w:rPr>
              <w:t>RAN1#111</w:t>
            </w:r>
            <w:r w:rsidRPr="00AC4299">
              <w:rPr>
                <w:rFonts w:ascii="Times" w:eastAsia="바탕" w:hAnsi="Times" w:cs="Times"/>
                <w:bCs/>
                <w:sz w:val="20"/>
                <w:lang w:val="en-CA" w:eastAsia="zh-CN"/>
              </w:rPr>
              <w:t>:</w:t>
            </w:r>
          </w:p>
          <w:p w:rsidR="00983171" w:rsidRPr="00AC4299" w:rsidRDefault="00983171" w:rsidP="00983171">
            <w:pPr>
              <w:numPr>
                <w:ilvl w:val="1"/>
                <w:numId w:val="12"/>
              </w:numPr>
              <w:jc w:val="both"/>
              <w:rPr>
                <w:rFonts w:ascii="Times" w:eastAsia="바탕" w:hAnsi="Times" w:cs="Times"/>
                <w:bCs/>
                <w:sz w:val="20"/>
                <w:lang w:val="en-CA" w:eastAsia="zh-CN"/>
              </w:rPr>
            </w:pPr>
            <w:r w:rsidRPr="00AC4299">
              <w:rPr>
                <w:rFonts w:ascii="Times" w:eastAsia="바탕" w:hAnsi="Times" w:cs="Times"/>
                <w:bCs/>
                <w:sz w:val="20"/>
                <w:lang w:val="en-CA" w:eastAsia="zh-CN"/>
              </w:rPr>
              <w:t>Alt1: the DMRS ports associated with two TPMI/SRI fields must be in different CDM groups.</w:t>
            </w:r>
          </w:p>
          <w:p w:rsidR="00983171" w:rsidRPr="00AC4299" w:rsidRDefault="00983171" w:rsidP="00983171">
            <w:pPr>
              <w:numPr>
                <w:ilvl w:val="1"/>
                <w:numId w:val="12"/>
              </w:numPr>
              <w:jc w:val="both"/>
              <w:rPr>
                <w:rFonts w:ascii="Times" w:eastAsia="바탕" w:hAnsi="Times" w:cs="Times"/>
                <w:bCs/>
                <w:sz w:val="20"/>
                <w:lang w:val="en-CA" w:eastAsia="zh-CN"/>
              </w:rPr>
            </w:pPr>
            <w:r w:rsidRPr="00AC4299">
              <w:rPr>
                <w:rFonts w:ascii="Times" w:eastAsia="바탕" w:hAnsi="Times" w:cs="Times"/>
                <w:bCs/>
                <w:sz w:val="20"/>
                <w:lang w:val="en-CA" w:eastAsia="zh-CN"/>
              </w:rPr>
              <w:t>Alt2: the DMRS ports associated with two TPMI/SRI fields can be in same or different CDM groups.</w:t>
            </w:r>
          </w:p>
          <w:p w:rsidR="00983171" w:rsidRPr="00AC4299" w:rsidRDefault="00983171" w:rsidP="00E410D2">
            <w:pPr>
              <w:pStyle w:val="0Maintext"/>
              <w:ind w:firstLine="0"/>
              <w:contextualSpacing/>
              <w:rPr>
                <w:lang w:val="en-CA" w:eastAsia="ko-KR"/>
              </w:rPr>
            </w:pPr>
          </w:p>
        </w:tc>
      </w:tr>
    </w:tbl>
    <w:p w:rsidR="00983171" w:rsidRDefault="00983171" w:rsidP="00983171">
      <w:pPr>
        <w:pStyle w:val="0Maintext"/>
        <w:ind w:firstLine="357"/>
        <w:contextualSpacing/>
        <w:rPr>
          <w:lang w:val="en-US" w:eastAsia="ko-KR"/>
        </w:rPr>
      </w:pPr>
    </w:p>
    <w:p w:rsidR="00983171" w:rsidRDefault="00983171" w:rsidP="00983171">
      <w:pPr>
        <w:pStyle w:val="0Maintext"/>
        <w:ind w:firstLine="357"/>
        <w:contextualSpacing/>
        <w:rPr>
          <w:lang w:val="en-US" w:eastAsia="ko-KR"/>
        </w:rPr>
      </w:pPr>
      <w:r>
        <w:rPr>
          <w:rFonts w:hint="eastAsia"/>
          <w:lang w:val="en-US" w:eastAsia="ko-KR"/>
        </w:rPr>
        <w:t xml:space="preserve">For DMRS indication for </w:t>
      </w:r>
      <w:r>
        <w:rPr>
          <w:lang w:val="en-US" w:eastAsia="ko-KR"/>
        </w:rPr>
        <w:t xml:space="preserve">mTRP SDM </w:t>
      </w:r>
      <w:r>
        <w:rPr>
          <w:rFonts w:hint="eastAsia"/>
          <w:lang w:val="en-US" w:eastAsia="ko-KR"/>
        </w:rPr>
        <w:t xml:space="preserve">STx2P, we can consider whether </w:t>
      </w:r>
      <w:r>
        <w:rPr>
          <w:lang w:val="en-US" w:eastAsia="ko-KR"/>
        </w:rPr>
        <w:t>only two different CDM groups</w:t>
      </w:r>
      <w:r>
        <w:rPr>
          <w:rFonts w:hint="eastAsia"/>
          <w:lang w:val="en-US" w:eastAsia="ko-KR"/>
        </w:rPr>
        <w:t xml:space="preserve"> can be indicated for STx2P.</w:t>
      </w:r>
      <w:r>
        <w:rPr>
          <w:lang w:val="en-US" w:eastAsia="ko-KR"/>
        </w:rPr>
        <w:t xml:space="preserve"> For Rel-16 mTRP SDM PDSCH, gNB should indicate DMRS ports with two different CDM groups and each CDM group is associated with indicated TCI state. This is because the UE receives different layers from different TRPs. To apply QCL assumption for PDSCH reception, the association between CDM group and TCI state is needed.</w:t>
      </w:r>
    </w:p>
    <w:p w:rsidR="00983171" w:rsidRDefault="00983171" w:rsidP="00983171">
      <w:pPr>
        <w:pStyle w:val="0Maintext"/>
        <w:ind w:firstLine="357"/>
        <w:contextualSpacing/>
        <w:rPr>
          <w:lang w:val="en-US" w:eastAsia="ko-KR"/>
        </w:rPr>
      </w:pPr>
      <w:r>
        <w:rPr>
          <w:lang w:val="en-US" w:eastAsia="ko-KR"/>
        </w:rPr>
        <w:t xml:space="preserve">However, for UL, the UE transmits uplink channel towards two different TRP if mTRP SDM STx2P PUSCH is supported. When one TRP receives uplink channel from the UE, gNB may need to assume one UL or joint TCI state between UE and one TRP if interference from the other panel of UE is marginal. For the UL case, CDM group restriction is not needed to support mTRP SDM STx2P PUSCH. Therefore, indicated DMRS ports for STx2P can be in both different and same CDM group. In addition, one DCI field is enough because legacy DMRS indication for UL can be reused without CDM group restriction. </w:t>
      </w:r>
    </w:p>
    <w:p w:rsidR="00983171" w:rsidRDefault="00983171" w:rsidP="00983171">
      <w:pPr>
        <w:pStyle w:val="0Maintext"/>
        <w:ind w:firstLine="357"/>
        <w:contextualSpacing/>
        <w:rPr>
          <w:lang w:val="en-US" w:eastAsia="ko-KR"/>
        </w:rPr>
      </w:pPr>
      <w:r>
        <w:rPr>
          <w:lang w:val="en-US" w:eastAsia="ko-KR"/>
        </w:rPr>
        <w:t>Next, to determine the number of layers for each panel, our understanding is new DMRS indication table or new column in legacy DMRS indication tables is not needed. Instead of new indication, two TPMI (for CB PUSCH) or two SRI (for NCB PUSCH) fields can indicate the port partition. For example as shown in below figure 5, the first TPMI field can indicate 1-layer and precoder for 1-layer transmission via panel 1. The second TPMI field can indicate 2 layers and precoder matrix for 2-layer transmission via panel 2. For this case, the layer combination between panel 1 and panel 2 would be {1+2}. Similarly, the layer combination can be determined through the number of layers that can be indicated by two SRI fields for NCB PUSCH. This method is based on two TPMI or two SRI fields, so second TPMI or second SRI field can also indicate the number of layer. Without this difference between legacy Rel-17 two TPMI/SRI field and Rel-18 two TPMI/SRI field for STx2P, DMRS ports and layer combination between two panels can be indicated with minimum spec impact.</w:t>
      </w:r>
    </w:p>
    <w:p w:rsidR="00983171" w:rsidRDefault="00983171" w:rsidP="00983171">
      <w:pPr>
        <w:pStyle w:val="0Maintext"/>
        <w:ind w:firstLine="357"/>
        <w:contextualSpacing/>
        <w:rPr>
          <w:lang w:val="en-US" w:eastAsia="ko-KR"/>
        </w:rPr>
      </w:pPr>
    </w:p>
    <w:p w:rsidR="00983171" w:rsidRDefault="00983171" w:rsidP="00983171">
      <w:pPr>
        <w:pStyle w:val="0Maintext"/>
        <w:ind w:firstLine="357"/>
        <w:contextualSpacing/>
        <w:rPr>
          <w:lang w:val="en-US" w:eastAsia="ko-KR"/>
        </w:rPr>
      </w:pPr>
    </w:p>
    <w:p w:rsidR="00983171" w:rsidRDefault="00983171" w:rsidP="00983171">
      <w:pPr>
        <w:pStyle w:val="0Maintext"/>
        <w:ind w:firstLine="357"/>
        <w:contextualSpacing/>
        <w:jc w:val="center"/>
        <w:rPr>
          <w:lang w:val="en-US" w:eastAsia="ko-KR"/>
        </w:rPr>
      </w:pPr>
      <w:r w:rsidRPr="008B5D84">
        <w:rPr>
          <w:noProof/>
          <w:lang w:val="en-US" w:eastAsia="ko-KR"/>
        </w:rPr>
        <w:lastRenderedPageBreak/>
        <w:drawing>
          <wp:inline distT="0" distB="0" distL="0" distR="0" wp14:anchorId="056BFA00" wp14:editId="1A62796B">
            <wp:extent cx="4157832" cy="1932599"/>
            <wp:effectExtent l="0" t="0" r="0" b="0"/>
            <wp:docPr id="4" name="그림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그림 117"/>
                    <pic:cNvPicPr>
                      <a:picLocks noChangeAspect="1"/>
                    </pic:cNvPicPr>
                  </pic:nvPicPr>
                  <pic:blipFill>
                    <a:blip r:embed="rId10"/>
                    <a:stretch>
                      <a:fillRect/>
                    </a:stretch>
                  </pic:blipFill>
                  <pic:spPr>
                    <a:xfrm>
                      <a:off x="0" y="0"/>
                      <a:ext cx="4157832" cy="1932599"/>
                    </a:xfrm>
                    <a:prstGeom prst="rect">
                      <a:avLst/>
                    </a:prstGeom>
                  </pic:spPr>
                </pic:pic>
              </a:graphicData>
            </a:graphic>
          </wp:inline>
        </w:drawing>
      </w:r>
    </w:p>
    <w:p w:rsidR="00983171" w:rsidRDefault="00983171" w:rsidP="00983171">
      <w:pPr>
        <w:pStyle w:val="0Maintext"/>
        <w:ind w:firstLine="357"/>
        <w:contextualSpacing/>
        <w:jc w:val="center"/>
        <w:rPr>
          <w:lang w:val="en-US" w:eastAsia="ko-KR"/>
        </w:rPr>
      </w:pPr>
      <w:r>
        <w:rPr>
          <w:lang w:val="en-US" w:eastAsia="ko-KR"/>
        </w:rPr>
        <w:t>Figure 5. Example for SRI/TPMI indication method based on two SRS resource sets</w:t>
      </w:r>
    </w:p>
    <w:p w:rsidR="00983171" w:rsidRDefault="00983171" w:rsidP="00983171">
      <w:pPr>
        <w:pStyle w:val="0Maintext"/>
        <w:ind w:firstLine="357"/>
        <w:contextualSpacing/>
        <w:rPr>
          <w:lang w:val="en-US" w:eastAsia="ko-KR"/>
        </w:rPr>
      </w:pPr>
    </w:p>
    <w:p w:rsidR="00983171" w:rsidRDefault="00983171" w:rsidP="00983171">
      <w:pPr>
        <w:pStyle w:val="0Maintext"/>
        <w:ind w:firstLine="0"/>
        <w:contextualSpacing/>
        <w:rPr>
          <w:lang w:val="en-US" w:eastAsia="ko-KR"/>
        </w:rPr>
      </w:pPr>
      <w:r w:rsidRPr="00EC62A3">
        <w:rPr>
          <w:b/>
          <w:i/>
          <w:lang w:val="en-US" w:eastAsia="ko-KR"/>
        </w:rPr>
        <w:t xml:space="preserve">Proposal </w:t>
      </w:r>
      <w:r>
        <w:rPr>
          <w:b/>
          <w:i/>
          <w:lang w:val="en-US" w:eastAsia="ko-KR"/>
        </w:rPr>
        <w:t>4</w:t>
      </w:r>
      <w:r w:rsidRPr="00EC62A3">
        <w:rPr>
          <w:i/>
          <w:lang w:val="en-US" w:eastAsia="ko-KR"/>
        </w:rPr>
        <w:t>:</w:t>
      </w:r>
      <w:r>
        <w:rPr>
          <w:i/>
          <w:lang w:val="en-US" w:eastAsia="ko-KR"/>
        </w:rPr>
        <w:t xml:space="preserve"> To indicate DMRS ports, legacy UL DMRS port indication can be reused for STx2P. The layer combination for STx2P can be determined from the number of layers indicated by two TPMI fields (for CB PUSCH) or two SRI fields (for NCB PUSCH). Therefore, new DMRS indication table or new column in legacy DMRS indication tables is not needed.</w:t>
      </w:r>
    </w:p>
    <w:p w:rsidR="00983171" w:rsidRPr="004D0403" w:rsidRDefault="00983171" w:rsidP="00983171">
      <w:pPr>
        <w:pStyle w:val="0Maintext"/>
        <w:ind w:firstLine="0"/>
        <w:contextualSpacing/>
        <w:rPr>
          <w:lang w:val="en-US" w:eastAsia="ko-KR"/>
        </w:rPr>
      </w:pPr>
    </w:p>
    <w:p w:rsidR="00983171" w:rsidRPr="001675FD" w:rsidRDefault="00983171" w:rsidP="00983171">
      <w:pPr>
        <w:pStyle w:val="2"/>
        <w:numPr>
          <w:ilvl w:val="1"/>
          <w:numId w:val="2"/>
        </w:numPr>
        <w:rPr>
          <w:lang w:val="en-US"/>
        </w:rPr>
      </w:pPr>
      <w:r>
        <w:rPr>
          <w:lang w:val="en-US"/>
        </w:rPr>
        <w:t>Supportive codeword for sDCI based mTRP SDM STx2P and CW-to-layer mapping</w:t>
      </w:r>
    </w:p>
    <w:p w:rsidR="00983171" w:rsidRDefault="00983171" w:rsidP="00983171">
      <w:pPr>
        <w:pStyle w:val="0Maintext"/>
        <w:ind w:firstLine="357"/>
        <w:contextualSpacing/>
        <w:rPr>
          <w:lang w:val="en-US" w:eastAsia="ko-KR"/>
        </w:rPr>
      </w:pPr>
      <w:r>
        <w:rPr>
          <w:rFonts w:hint="eastAsia"/>
          <w:lang w:val="en-US" w:eastAsia="ko-KR"/>
        </w:rPr>
        <w:t>The main usage case of sDCI based</w:t>
      </w:r>
      <w:r>
        <w:rPr>
          <w:lang w:val="en-US" w:eastAsia="ko-KR"/>
        </w:rPr>
        <w:t xml:space="preserve"> mTRP</w:t>
      </w:r>
      <w:r>
        <w:rPr>
          <w:rFonts w:hint="eastAsia"/>
          <w:lang w:val="en-US" w:eastAsia="ko-KR"/>
        </w:rPr>
        <w:t xml:space="preserve"> SDM STx2P PUSCH is CPE/FWA to increase the throughput performance</w:t>
      </w:r>
      <w:r>
        <w:rPr>
          <w:lang w:val="en-US" w:eastAsia="ko-KR"/>
        </w:rPr>
        <w:t>.</w:t>
      </w:r>
      <w:r>
        <w:rPr>
          <w:rFonts w:hint="eastAsia"/>
          <w:lang w:val="en-US" w:eastAsia="ko-KR"/>
        </w:rPr>
        <w:t xml:space="preserve"> </w:t>
      </w:r>
      <w:r>
        <w:rPr>
          <w:lang w:val="en-US" w:eastAsia="ko-KR"/>
        </w:rPr>
        <w:t xml:space="preserve">When we consider the deployment of CPE or FWA, the device will be placed in such a way that the channel gain is good. Furthermore, if mTRP based transmission is supported, such devices can be placed to make that channel gain between each TRP and the UE could be similar or same to maximize the gain via mTRP operation. If the channel quality difference between two links is large, sTRP SFN STx2P PUSCH or panel selection transmission can outperform mTRP SDM STx2P PUSCH. Therefore, sDCI based mTRP SDM STx2P PUSCH can be supported with two links with similar channel gain. For this case, sDCI based mTRP SDM STx2P PUSCH can be scheduled with 1 CW and 1 MCS. </w:t>
      </w:r>
    </w:p>
    <w:p w:rsidR="00983171" w:rsidRDefault="00983171" w:rsidP="00983171">
      <w:pPr>
        <w:pStyle w:val="0Maintext"/>
        <w:ind w:firstLine="357"/>
        <w:contextualSpacing/>
        <w:rPr>
          <w:lang w:val="en-US" w:eastAsia="ko-KR"/>
        </w:rPr>
      </w:pPr>
      <w:r>
        <w:rPr>
          <w:lang w:val="en-US" w:eastAsia="ko-KR"/>
        </w:rPr>
        <w:t>In addition, the WID scope only includes the support of up to four layers across two panels. This is same as the maximum number of supportive layers in Rel-15/16/17. In current NR specification, CW-to-layer mapping for UL and DL is well defined and 1 CW can be scheduled if UL or DL channel is up to 4 layers. With legacy CW-to-layer mapping, SDM STx2P PUSCH can be supported with minimum spec impact.</w:t>
      </w:r>
    </w:p>
    <w:p w:rsidR="00983171" w:rsidRDefault="00983171" w:rsidP="00983171">
      <w:pPr>
        <w:pStyle w:val="0Maintext"/>
        <w:ind w:firstLine="357"/>
        <w:contextualSpacing/>
        <w:rPr>
          <w:lang w:val="en-US" w:eastAsia="ko-KR"/>
        </w:rPr>
      </w:pPr>
      <w:r>
        <w:rPr>
          <w:lang w:val="en-US" w:eastAsia="ko-KR"/>
        </w:rPr>
        <w:t xml:space="preserve">Therefore, we prefer to support PUSCH with 1 CW for Rel-18 sDCI based mTRP SDM STx2P PUSCH and to reuse legacy CW-to-layer mapping. </w:t>
      </w:r>
    </w:p>
    <w:p w:rsidR="00983171" w:rsidRDefault="00983171" w:rsidP="00983171">
      <w:pPr>
        <w:pStyle w:val="0Maintext"/>
        <w:ind w:firstLine="357"/>
        <w:contextualSpacing/>
        <w:rPr>
          <w:lang w:val="en-US" w:eastAsia="ko-KR"/>
        </w:rPr>
      </w:pPr>
    </w:p>
    <w:p w:rsidR="00983171" w:rsidRDefault="00983171" w:rsidP="00983171">
      <w:pPr>
        <w:pStyle w:val="0Maintext"/>
        <w:ind w:firstLine="0"/>
        <w:contextualSpacing/>
        <w:rPr>
          <w:lang w:val="en-US" w:eastAsia="ko-KR"/>
        </w:rPr>
      </w:pPr>
      <w:r w:rsidRPr="00EC62A3">
        <w:rPr>
          <w:b/>
          <w:i/>
          <w:lang w:val="en-US" w:eastAsia="ko-KR"/>
        </w:rPr>
        <w:t xml:space="preserve">Proposal </w:t>
      </w:r>
      <w:r>
        <w:rPr>
          <w:b/>
          <w:i/>
          <w:lang w:val="en-US" w:eastAsia="ko-KR"/>
        </w:rPr>
        <w:t>5</w:t>
      </w:r>
      <w:r w:rsidRPr="00EC62A3">
        <w:rPr>
          <w:i/>
          <w:lang w:val="en-US" w:eastAsia="ko-KR"/>
        </w:rPr>
        <w:t>:</w:t>
      </w:r>
      <w:r>
        <w:rPr>
          <w:i/>
          <w:lang w:val="en-US" w:eastAsia="ko-KR"/>
        </w:rPr>
        <w:t xml:space="preserve"> S</w:t>
      </w:r>
      <w:r w:rsidRPr="00B47BF2">
        <w:rPr>
          <w:i/>
          <w:lang w:val="en-US" w:eastAsia="ko-KR"/>
        </w:rPr>
        <w:t xml:space="preserve">upport PUSCH with 1 CW for Rel-18 sDCI based </w:t>
      </w:r>
      <w:r>
        <w:rPr>
          <w:i/>
          <w:lang w:val="en-US" w:eastAsia="ko-KR"/>
        </w:rPr>
        <w:t xml:space="preserve">mTRP </w:t>
      </w:r>
      <w:r w:rsidRPr="00B47BF2">
        <w:rPr>
          <w:i/>
          <w:lang w:val="en-US" w:eastAsia="ko-KR"/>
        </w:rPr>
        <w:t>SDM STx2P PUSCH and reuse legacy CW-to-layer mapping</w:t>
      </w:r>
      <w:r>
        <w:rPr>
          <w:i/>
          <w:lang w:val="en-US" w:eastAsia="ko-KR"/>
        </w:rPr>
        <w:t xml:space="preserve">. </w:t>
      </w:r>
    </w:p>
    <w:p w:rsidR="00983171" w:rsidRDefault="00983171" w:rsidP="00983171">
      <w:pPr>
        <w:pStyle w:val="0Maintext"/>
        <w:ind w:firstLine="357"/>
        <w:contextualSpacing/>
        <w:rPr>
          <w:lang w:val="en-US" w:eastAsia="ko-KR"/>
        </w:rPr>
      </w:pPr>
    </w:p>
    <w:p w:rsidR="00983171" w:rsidRPr="00F27612" w:rsidRDefault="00983171" w:rsidP="00983171">
      <w:pPr>
        <w:pStyle w:val="01Section1"/>
        <w:spacing w:before="0"/>
        <w:rPr>
          <w:lang w:val="en-US"/>
        </w:rPr>
      </w:pPr>
      <w:r>
        <w:rPr>
          <w:lang w:val="en-US"/>
        </w:rPr>
        <w:t>Conclusion</w:t>
      </w:r>
    </w:p>
    <w:p w:rsidR="00983171" w:rsidRDefault="00983171" w:rsidP="00983171">
      <w:pPr>
        <w:pStyle w:val="0Maintext"/>
        <w:spacing w:after="60" w:afterAutospacing="0"/>
        <w:ind w:firstLine="450"/>
        <w:rPr>
          <w:lang w:val="en-US"/>
        </w:rPr>
      </w:pPr>
      <w:r>
        <w:rPr>
          <w:lang w:val="en-US"/>
        </w:rPr>
        <w:t xml:space="preserve">In this contribution, the following observations and proposals are made: </w:t>
      </w:r>
    </w:p>
    <w:p w:rsidR="00983171" w:rsidRDefault="00983171" w:rsidP="00983171">
      <w:pPr>
        <w:pStyle w:val="0Maintext"/>
        <w:spacing w:after="60" w:afterAutospacing="0"/>
        <w:ind w:firstLine="450"/>
        <w:rPr>
          <w:lang w:val="en-US"/>
        </w:rPr>
      </w:pPr>
    </w:p>
    <w:p w:rsidR="00983171" w:rsidRDefault="00983171" w:rsidP="00983171">
      <w:pPr>
        <w:pStyle w:val="0Maintext"/>
        <w:ind w:firstLine="0"/>
        <w:contextualSpacing/>
        <w:rPr>
          <w:i/>
          <w:lang w:val="en-US" w:eastAsia="ko-KR"/>
        </w:rPr>
      </w:pPr>
      <w:r w:rsidRPr="00EC62A3">
        <w:rPr>
          <w:b/>
          <w:i/>
          <w:lang w:val="en-US" w:eastAsia="ko-KR"/>
        </w:rPr>
        <w:t xml:space="preserve">Proposal </w:t>
      </w:r>
      <w:r>
        <w:rPr>
          <w:b/>
          <w:i/>
          <w:lang w:val="en-US" w:eastAsia="ko-KR"/>
        </w:rPr>
        <w:t>1</w:t>
      </w:r>
      <w:r w:rsidRPr="00EC62A3">
        <w:rPr>
          <w:i/>
          <w:lang w:val="en-US" w:eastAsia="ko-KR"/>
        </w:rPr>
        <w:t xml:space="preserve">: </w:t>
      </w:r>
      <w:r>
        <w:rPr>
          <w:i/>
          <w:lang w:val="en-US" w:eastAsia="ko-KR"/>
        </w:rPr>
        <w:t>Support sDCI based sTRP STx2P and support sDCI based sTRP SFN scheme for STx2P PUSCH transmission to increase reliability, coverage, and potentially throughput gains</w:t>
      </w:r>
    </w:p>
    <w:p w:rsidR="00983171" w:rsidRDefault="00983171" w:rsidP="00983171">
      <w:pPr>
        <w:contextualSpacing/>
        <w:rPr>
          <w:i/>
          <w:sz w:val="20"/>
          <w:lang w:val="en-US" w:eastAsia="ko-KR"/>
        </w:rPr>
      </w:pPr>
      <w:r w:rsidRPr="00EC62A3">
        <w:rPr>
          <w:b/>
          <w:i/>
          <w:sz w:val="20"/>
          <w:lang w:val="en-US" w:eastAsia="ko-KR"/>
        </w:rPr>
        <w:t xml:space="preserve">Proposal </w:t>
      </w:r>
      <w:r>
        <w:rPr>
          <w:b/>
          <w:i/>
          <w:sz w:val="20"/>
          <w:lang w:val="en-US" w:eastAsia="ko-KR"/>
        </w:rPr>
        <w:t>2</w:t>
      </w:r>
      <w:r w:rsidRPr="00EC62A3">
        <w:rPr>
          <w:i/>
          <w:sz w:val="20"/>
          <w:lang w:val="en-US" w:eastAsia="ko-KR"/>
        </w:rPr>
        <w:t>:</w:t>
      </w:r>
      <w:r>
        <w:rPr>
          <w:i/>
          <w:sz w:val="20"/>
          <w:lang w:val="en-US" w:eastAsia="ko-KR"/>
        </w:rPr>
        <w:t xml:space="preserve"> Switching between sTRP UL transmission or mTRP UL transmission can be indicated via two options to get the benefit of scheduling flexibility: </w:t>
      </w:r>
    </w:p>
    <w:p w:rsidR="00983171" w:rsidRPr="002106AD" w:rsidRDefault="00983171" w:rsidP="00983171">
      <w:pPr>
        <w:pStyle w:val="0Maintext"/>
        <w:numPr>
          <w:ilvl w:val="0"/>
          <w:numId w:val="10"/>
        </w:numPr>
        <w:rPr>
          <w:i/>
          <w:lang w:val="en-US" w:eastAsia="ko-KR"/>
        </w:rPr>
      </w:pPr>
      <w:r>
        <w:rPr>
          <w:rFonts w:cs="Times New Roman"/>
          <w:i/>
          <w:lang w:val="en-US" w:eastAsia="ko-KR"/>
        </w:rPr>
        <w:t xml:space="preserve">Option1. TCI state </w:t>
      </w:r>
    </w:p>
    <w:p w:rsidR="00983171" w:rsidRPr="00861BAA" w:rsidRDefault="00983171" w:rsidP="00983171">
      <w:pPr>
        <w:pStyle w:val="0Maintext"/>
        <w:numPr>
          <w:ilvl w:val="1"/>
          <w:numId w:val="10"/>
        </w:numPr>
        <w:rPr>
          <w:i/>
          <w:lang w:val="en-US" w:eastAsia="ko-KR"/>
        </w:rPr>
      </w:pPr>
      <w:r>
        <w:rPr>
          <w:rFonts w:cs="Times New Roman"/>
          <w:i/>
          <w:lang w:val="en-US" w:eastAsia="ko-KR"/>
        </w:rPr>
        <w:t>If one TCI state is indicated, sTRP UL transmission is scheduled</w:t>
      </w:r>
    </w:p>
    <w:p w:rsidR="00983171" w:rsidRPr="00861BAA" w:rsidRDefault="00983171" w:rsidP="00983171">
      <w:pPr>
        <w:pStyle w:val="0Maintext"/>
        <w:numPr>
          <w:ilvl w:val="1"/>
          <w:numId w:val="10"/>
        </w:numPr>
        <w:rPr>
          <w:i/>
          <w:lang w:val="en-US" w:eastAsia="ko-KR"/>
        </w:rPr>
      </w:pPr>
      <w:r>
        <w:rPr>
          <w:rFonts w:cs="Times New Roman"/>
          <w:i/>
          <w:lang w:val="en-US" w:eastAsia="ko-KR"/>
        </w:rPr>
        <w:t>If two TCI states are indicated, either (a) sTRP or mTRP UL transmission can be scheduled or (b) mTRP UL transmission is scheduled</w:t>
      </w:r>
    </w:p>
    <w:p w:rsidR="00983171" w:rsidRPr="00861BAA" w:rsidRDefault="00983171" w:rsidP="00983171">
      <w:pPr>
        <w:pStyle w:val="0Maintext"/>
        <w:numPr>
          <w:ilvl w:val="0"/>
          <w:numId w:val="10"/>
        </w:numPr>
        <w:rPr>
          <w:i/>
          <w:lang w:val="en-US" w:eastAsia="ko-KR"/>
        </w:rPr>
      </w:pPr>
      <w:r>
        <w:rPr>
          <w:rFonts w:cs="Times New Roman"/>
          <w:i/>
          <w:lang w:val="en-US" w:eastAsia="ko-KR"/>
        </w:rPr>
        <w:t>Option2. SRS resource set indicator</w:t>
      </w:r>
    </w:p>
    <w:p w:rsidR="00983171" w:rsidRPr="00861BAA" w:rsidRDefault="00983171" w:rsidP="00983171">
      <w:pPr>
        <w:pStyle w:val="0Maintext"/>
        <w:numPr>
          <w:ilvl w:val="1"/>
          <w:numId w:val="10"/>
        </w:numPr>
        <w:rPr>
          <w:i/>
          <w:lang w:val="en-US" w:eastAsia="ko-KR"/>
        </w:rPr>
      </w:pPr>
      <w:r>
        <w:rPr>
          <w:rFonts w:cs="Times New Roman"/>
          <w:i/>
          <w:lang w:val="en-US" w:eastAsia="ko-KR"/>
        </w:rPr>
        <w:lastRenderedPageBreak/>
        <w:t>If SRS resource set indicator indicates mTRP transmission, mTRP transmission (</w:t>
      </w:r>
      <w:r w:rsidRPr="00FF0731">
        <w:rPr>
          <w:rFonts w:cs="Times New Roman"/>
          <w:i/>
          <w:lang w:val="en-US" w:eastAsia="ko-KR"/>
        </w:rPr>
        <w:t>including mTRP STx2P and legacy mTRP UL repetition)</w:t>
      </w:r>
      <w:r>
        <w:rPr>
          <w:rFonts w:cs="Times New Roman"/>
          <w:i/>
          <w:lang w:val="en-US" w:eastAsia="ko-KR"/>
        </w:rPr>
        <w:t xml:space="preserve"> is scheduled based on two SRS resource sets</w:t>
      </w:r>
    </w:p>
    <w:p w:rsidR="00983171" w:rsidRPr="008658A4" w:rsidRDefault="00983171" w:rsidP="00983171">
      <w:pPr>
        <w:pStyle w:val="0Maintext"/>
        <w:numPr>
          <w:ilvl w:val="1"/>
          <w:numId w:val="10"/>
        </w:numPr>
        <w:rPr>
          <w:i/>
          <w:lang w:val="en-US" w:eastAsia="ko-KR"/>
        </w:rPr>
      </w:pPr>
      <w:r>
        <w:rPr>
          <w:rFonts w:cs="Times New Roman"/>
          <w:i/>
          <w:lang w:val="en-US" w:eastAsia="ko-KR"/>
        </w:rPr>
        <w:t xml:space="preserve">If SRS resource set indicator indicates sTRP transmissions, sTRP transmission </w:t>
      </w:r>
      <w:r w:rsidRPr="00FF0731">
        <w:rPr>
          <w:rFonts w:cs="Times New Roman"/>
          <w:i/>
          <w:lang w:val="en-US" w:eastAsia="ko-KR"/>
        </w:rPr>
        <w:t>(including sTRP STx2P, panel selection and legacy UL transmission)</w:t>
      </w:r>
      <w:r>
        <w:rPr>
          <w:rFonts w:cs="Times New Roman"/>
          <w:i/>
          <w:lang w:val="en-US" w:eastAsia="ko-KR"/>
        </w:rPr>
        <w:t xml:space="preserve"> is scheduled based on two SRS resource sets</w:t>
      </w:r>
    </w:p>
    <w:p w:rsidR="00983171" w:rsidRPr="003B2960" w:rsidRDefault="00983171" w:rsidP="00983171">
      <w:pPr>
        <w:pStyle w:val="0Maintext"/>
        <w:ind w:firstLine="0"/>
        <w:contextualSpacing/>
        <w:rPr>
          <w:lang w:val="en-US" w:eastAsia="ko-KR"/>
        </w:rPr>
      </w:pPr>
      <w:r w:rsidRPr="00EC62A3">
        <w:rPr>
          <w:b/>
          <w:i/>
          <w:lang w:val="en-US" w:eastAsia="ko-KR"/>
        </w:rPr>
        <w:t xml:space="preserve">Proposal </w:t>
      </w:r>
      <w:r>
        <w:rPr>
          <w:b/>
          <w:i/>
          <w:lang w:val="en-US" w:eastAsia="ko-KR"/>
        </w:rPr>
        <w:t>3</w:t>
      </w:r>
      <w:r w:rsidRPr="00EC62A3">
        <w:rPr>
          <w:i/>
          <w:lang w:val="en-US" w:eastAsia="ko-KR"/>
        </w:rPr>
        <w:t>:</w:t>
      </w:r>
      <w:r>
        <w:rPr>
          <w:i/>
          <w:lang w:val="en-US" w:eastAsia="ko-KR"/>
        </w:rPr>
        <w:t xml:space="preserve"> For both mTRP STx2P and sTRP STx2P, support two SRS resource sets that each SRS resource set can include up to two SRS resource groups. </w:t>
      </w:r>
      <w:r w:rsidRPr="003B2960">
        <w:rPr>
          <w:i/>
          <w:lang w:val="en-US" w:eastAsia="ko-KR"/>
        </w:rPr>
        <w:t>In addition, support dynamic switching between sTRP STx2P and mTRP STx2P as follow:</w:t>
      </w:r>
    </w:p>
    <w:p w:rsidR="00983171" w:rsidRPr="003B2960" w:rsidRDefault="00983171" w:rsidP="00983171">
      <w:pPr>
        <w:pStyle w:val="0Maintext"/>
        <w:numPr>
          <w:ilvl w:val="0"/>
          <w:numId w:val="10"/>
        </w:numPr>
        <w:rPr>
          <w:i/>
          <w:lang w:val="en-US" w:eastAsia="ko-KR"/>
        </w:rPr>
      </w:pPr>
      <w:r w:rsidRPr="003B2960">
        <w:rPr>
          <w:rFonts w:cs="Times New Roman"/>
          <w:i/>
          <w:lang w:val="en-US" w:eastAsia="ko-KR"/>
        </w:rPr>
        <w:t>sTRP STx2P (one SRS resource set based): one SRI indicating a pair of SRS resources</w:t>
      </w:r>
      <w:r>
        <w:rPr>
          <w:rFonts w:cs="Times New Roman"/>
          <w:i/>
          <w:lang w:val="en-US" w:eastAsia="ko-KR"/>
        </w:rPr>
        <w:t xml:space="preserve"> (one from each SRS resource group)</w:t>
      </w:r>
      <w:r w:rsidRPr="003B2960">
        <w:rPr>
          <w:rFonts w:cs="Times New Roman"/>
          <w:i/>
          <w:lang w:val="en-US" w:eastAsia="ko-KR"/>
        </w:rPr>
        <w:t xml:space="preserve"> for a SRS resource set/one TPMI indicating a precoder across all SRS ports for indicated SRS resources (if CB based PUSCH is supported)</w:t>
      </w:r>
      <w:r>
        <w:rPr>
          <w:rFonts w:cs="Times New Roman"/>
          <w:i/>
          <w:lang w:val="en-US" w:eastAsia="ko-KR"/>
        </w:rPr>
        <w:t xml:space="preserve"> </w:t>
      </w:r>
      <w:r w:rsidRPr="0097489A">
        <w:rPr>
          <w:rFonts w:cs="Times New Roman"/>
          <w:i/>
          <w:lang w:val="en-US" w:eastAsia="ko-KR"/>
        </w:rPr>
        <w:t>(e.g. sTRP SFN STx2P)</w:t>
      </w:r>
    </w:p>
    <w:p w:rsidR="00983171" w:rsidRDefault="00983171" w:rsidP="00983171">
      <w:pPr>
        <w:pStyle w:val="0Maintext"/>
        <w:numPr>
          <w:ilvl w:val="0"/>
          <w:numId w:val="10"/>
        </w:numPr>
        <w:rPr>
          <w:i/>
          <w:lang w:val="en-US" w:eastAsia="ko-KR"/>
        </w:rPr>
      </w:pPr>
      <w:r w:rsidRPr="003B2960">
        <w:rPr>
          <w:i/>
          <w:lang w:val="en-US" w:eastAsia="ko-KR"/>
        </w:rPr>
        <w:t>mTRP STx2P (two SRS resource sets based): two SRIs indicating each SRS resource for each SRS resource set (each TRP)/two TPMIs indicating each precoder for each indicated SRS resource (if CB based PUSCH is supported)</w:t>
      </w:r>
      <w:r>
        <w:rPr>
          <w:i/>
          <w:lang w:val="en-US" w:eastAsia="ko-KR"/>
        </w:rPr>
        <w:t xml:space="preserve"> </w:t>
      </w:r>
      <w:r w:rsidRPr="0097489A">
        <w:rPr>
          <w:i/>
          <w:lang w:val="en-US" w:eastAsia="ko-KR"/>
        </w:rPr>
        <w:t>(e.g. mTRP SDM STx2P)</w:t>
      </w:r>
    </w:p>
    <w:p w:rsidR="00983171" w:rsidRDefault="00983171" w:rsidP="00983171">
      <w:pPr>
        <w:pStyle w:val="0Maintext"/>
        <w:ind w:firstLine="0"/>
        <w:contextualSpacing/>
        <w:rPr>
          <w:lang w:val="en-US" w:eastAsia="ko-KR"/>
        </w:rPr>
      </w:pPr>
      <w:r w:rsidRPr="00EC62A3">
        <w:rPr>
          <w:b/>
          <w:i/>
          <w:lang w:val="en-US" w:eastAsia="ko-KR"/>
        </w:rPr>
        <w:t xml:space="preserve">Proposal </w:t>
      </w:r>
      <w:r>
        <w:rPr>
          <w:b/>
          <w:i/>
          <w:lang w:val="en-US" w:eastAsia="ko-KR"/>
        </w:rPr>
        <w:t>4</w:t>
      </w:r>
      <w:r w:rsidRPr="00EC62A3">
        <w:rPr>
          <w:i/>
          <w:lang w:val="en-US" w:eastAsia="ko-KR"/>
        </w:rPr>
        <w:t>:</w:t>
      </w:r>
      <w:r>
        <w:rPr>
          <w:i/>
          <w:lang w:val="en-US" w:eastAsia="ko-KR"/>
        </w:rPr>
        <w:t xml:space="preserve"> To indicate DMRS ports, legacy UL DMRS port indication can be reused for STx2P. The layer combination for STx2P can be determined from the number of layers indicated by two TPMI fields (for CB PUSCH) or two SRI fields (for NCB PUSCH). Therefore, new DMRS indication table or new column in legacy DMRS indication tables is not needed.</w:t>
      </w:r>
    </w:p>
    <w:p w:rsidR="00983171" w:rsidRDefault="00983171" w:rsidP="00983171">
      <w:pPr>
        <w:pStyle w:val="0Maintext"/>
        <w:ind w:firstLine="0"/>
        <w:contextualSpacing/>
        <w:rPr>
          <w:b/>
          <w:i/>
          <w:lang w:val="en-US" w:eastAsia="ko-KR"/>
        </w:rPr>
      </w:pPr>
    </w:p>
    <w:p w:rsidR="00983171" w:rsidRDefault="00983171" w:rsidP="00983171">
      <w:pPr>
        <w:pStyle w:val="0Maintext"/>
        <w:ind w:firstLine="0"/>
        <w:contextualSpacing/>
        <w:rPr>
          <w:lang w:val="en-US" w:eastAsia="ko-KR"/>
        </w:rPr>
      </w:pPr>
      <w:r w:rsidRPr="00EC62A3">
        <w:rPr>
          <w:b/>
          <w:i/>
          <w:lang w:val="en-US" w:eastAsia="ko-KR"/>
        </w:rPr>
        <w:t xml:space="preserve">Proposal </w:t>
      </w:r>
      <w:r>
        <w:rPr>
          <w:b/>
          <w:i/>
          <w:lang w:val="en-US" w:eastAsia="ko-KR"/>
        </w:rPr>
        <w:t>5</w:t>
      </w:r>
      <w:r w:rsidRPr="00EC62A3">
        <w:rPr>
          <w:i/>
          <w:lang w:val="en-US" w:eastAsia="ko-KR"/>
        </w:rPr>
        <w:t>:</w:t>
      </w:r>
      <w:r>
        <w:rPr>
          <w:i/>
          <w:lang w:val="en-US" w:eastAsia="ko-KR"/>
        </w:rPr>
        <w:t xml:space="preserve"> S</w:t>
      </w:r>
      <w:r w:rsidRPr="00B47BF2">
        <w:rPr>
          <w:i/>
          <w:lang w:val="en-US" w:eastAsia="ko-KR"/>
        </w:rPr>
        <w:t xml:space="preserve">upport PUSCH with 1 CW for Rel-18 sDCI based </w:t>
      </w:r>
      <w:r>
        <w:rPr>
          <w:i/>
          <w:lang w:val="en-US" w:eastAsia="ko-KR"/>
        </w:rPr>
        <w:t xml:space="preserve">mTRP </w:t>
      </w:r>
      <w:r w:rsidRPr="00B47BF2">
        <w:rPr>
          <w:i/>
          <w:lang w:val="en-US" w:eastAsia="ko-KR"/>
        </w:rPr>
        <w:t>SDM STx2P PUSCH and reuse legacy CW-to-layer mapping</w:t>
      </w:r>
      <w:r>
        <w:rPr>
          <w:i/>
          <w:lang w:val="en-US" w:eastAsia="ko-KR"/>
        </w:rPr>
        <w:t xml:space="preserve">. </w:t>
      </w:r>
    </w:p>
    <w:p w:rsidR="00983171" w:rsidRPr="004A7F1C" w:rsidRDefault="00983171" w:rsidP="00983171">
      <w:pPr>
        <w:rPr>
          <w:b/>
          <w:i/>
          <w:sz w:val="20"/>
          <w:lang w:val="en-US" w:eastAsia="ko-KR"/>
        </w:rPr>
      </w:pPr>
    </w:p>
    <w:p w:rsidR="00983171" w:rsidRPr="004A7F1C" w:rsidRDefault="00983171" w:rsidP="00983171">
      <w:pPr>
        <w:rPr>
          <w:b/>
          <w:i/>
          <w:sz w:val="20"/>
          <w:lang w:val="en-US" w:eastAsia="ko-KR"/>
        </w:rPr>
      </w:pPr>
    </w:p>
    <w:p w:rsidR="00983171" w:rsidRPr="00082D37" w:rsidRDefault="00983171" w:rsidP="00983171">
      <w:pPr>
        <w:pStyle w:val="1"/>
        <w:spacing w:before="0"/>
        <w:jc w:val="both"/>
        <w:rPr>
          <w:lang w:val="en-US"/>
        </w:rPr>
      </w:pPr>
      <w:r w:rsidRPr="00082D37">
        <w:rPr>
          <w:lang w:val="en-US"/>
        </w:rPr>
        <w:t>References</w:t>
      </w:r>
    </w:p>
    <w:p w:rsidR="00983171" w:rsidRPr="006430D3" w:rsidRDefault="00983171" w:rsidP="00983171">
      <w:pPr>
        <w:pStyle w:val="2222"/>
        <w:numPr>
          <w:ilvl w:val="0"/>
          <w:numId w:val="3"/>
        </w:numPr>
        <w:spacing w:after="120" w:line="288" w:lineRule="auto"/>
        <w:ind w:firstLineChars="0"/>
        <w:rPr>
          <w:sz w:val="20"/>
        </w:rPr>
      </w:pPr>
      <w:r>
        <w:rPr>
          <w:sz w:val="20"/>
          <w:lang w:val="en-US" w:eastAsia="ko-KR"/>
        </w:rPr>
        <w:t xml:space="preserve">RP-213598, New WID: </w:t>
      </w:r>
      <w:r w:rsidRPr="00F3663C">
        <w:rPr>
          <w:sz w:val="20"/>
          <w:lang w:val="en-US" w:eastAsia="ko-KR"/>
        </w:rPr>
        <w:t>MIMO Evolution for Downlink and Uplink</w:t>
      </w:r>
      <w:r>
        <w:rPr>
          <w:sz w:val="20"/>
          <w:lang w:val="en-US" w:eastAsia="ko-KR"/>
        </w:rPr>
        <w:t>, RAN</w:t>
      </w:r>
      <w:r w:rsidRPr="0092700C">
        <w:rPr>
          <w:sz w:val="20"/>
          <w:lang w:val="en-US" w:eastAsia="ko-KR"/>
        </w:rPr>
        <w:t>#</w:t>
      </w:r>
      <w:r>
        <w:rPr>
          <w:sz w:val="20"/>
          <w:lang w:val="en-US" w:eastAsia="ko-KR"/>
        </w:rPr>
        <w:t>94</w:t>
      </w:r>
      <w:r w:rsidRPr="0092700C">
        <w:rPr>
          <w:sz w:val="20"/>
          <w:lang w:val="en-US" w:eastAsia="ko-KR"/>
        </w:rPr>
        <w:t>-e</w:t>
      </w:r>
    </w:p>
    <w:p w:rsidR="00983171" w:rsidRPr="00AC4299" w:rsidRDefault="00983171" w:rsidP="00983171">
      <w:pPr>
        <w:pStyle w:val="2222"/>
        <w:numPr>
          <w:ilvl w:val="0"/>
          <w:numId w:val="3"/>
        </w:numPr>
        <w:spacing w:after="120" w:line="288" w:lineRule="auto"/>
        <w:ind w:firstLineChars="0"/>
        <w:rPr>
          <w:sz w:val="20"/>
        </w:rPr>
      </w:pPr>
      <w:r w:rsidRPr="00AE7976">
        <w:rPr>
          <w:sz w:val="20"/>
          <w:lang w:val="en-US" w:eastAsia="ko-KR"/>
        </w:rPr>
        <w:t>RAN1#</w:t>
      </w:r>
      <w:r>
        <w:rPr>
          <w:sz w:val="20"/>
          <w:lang w:val="en-US" w:eastAsia="ko-KR"/>
        </w:rPr>
        <w:t>110</w:t>
      </w:r>
      <w:r w:rsidRPr="00AE7976">
        <w:rPr>
          <w:sz w:val="20"/>
          <w:lang w:val="en-US" w:eastAsia="ko-KR"/>
        </w:rPr>
        <w:t>, Chairman’s notes</w:t>
      </w:r>
    </w:p>
    <w:p w:rsidR="00983171" w:rsidRPr="00AC4299" w:rsidRDefault="00983171" w:rsidP="00983171">
      <w:pPr>
        <w:pStyle w:val="2222"/>
        <w:numPr>
          <w:ilvl w:val="0"/>
          <w:numId w:val="3"/>
        </w:numPr>
        <w:spacing w:after="120" w:line="288" w:lineRule="auto"/>
        <w:ind w:firstLineChars="0"/>
        <w:rPr>
          <w:sz w:val="20"/>
        </w:rPr>
      </w:pPr>
      <w:r w:rsidRPr="00AC4299">
        <w:rPr>
          <w:sz w:val="20"/>
          <w:lang w:val="en-US" w:eastAsia="ko-KR"/>
        </w:rPr>
        <w:t>RAN1#110</w:t>
      </w:r>
      <w:r>
        <w:rPr>
          <w:sz w:val="20"/>
          <w:lang w:val="en-US" w:eastAsia="ko-KR"/>
        </w:rPr>
        <w:t>b-e</w:t>
      </w:r>
      <w:r w:rsidRPr="00AC4299">
        <w:rPr>
          <w:sz w:val="20"/>
          <w:lang w:val="en-US" w:eastAsia="ko-KR"/>
        </w:rPr>
        <w:t>, Chairman’s notes</w:t>
      </w:r>
    </w:p>
    <w:p w:rsidR="00E8539D" w:rsidRDefault="00E8539D">
      <w:bookmarkStart w:id="2" w:name="_GoBack"/>
      <w:bookmarkEnd w:id="2"/>
    </w:p>
    <w:sectPr w:rsidR="00E8539D" w:rsidSect="00983171">
      <w:headerReference w:type="default" r:id="rId11"/>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6DE" w:rsidRDefault="00983171">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4C03D54"/>
    <w:multiLevelType w:val="hybridMultilevel"/>
    <w:tmpl w:val="DE88C23A"/>
    <w:lvl w:ilvl="0" w:tplc="04090001">
      <w:start w:val="1"/>
      <w:numFmt w:val="bullet"/>
      <w:lvlText w:val=""/>
      <w:lvlJc w:val="left"/>
      <w:pPr>
        <w:ind w:left="1160" w:hanging="400"/>
      </w:pPr>
      <w:rPr>
        <w:rFonts w:ascii="Symbol" w:hAnsi="Symbol"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8" w15:restartNumberingAfterBreak="0">
    <w:nsid w:val="577A2C66"/>
    <w:multiLevelType w:val="hybridMultilevel"/>
    <w:tmpl w:val="E4EA7220"/>
    <w:lvl w:ilvl="0" w:tplc="04090001">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9"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74095BDA"/>
    <w:multiLevelType w:val="hybridMultilevel"/>
    <w:tmpl w:val="2B4C6F10"/>
    <w:lvl w:ilvl="0" w:tplc="1B0AB4F6">
      <w:start w:val="6"/>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10"/>
  </w:num>
  <w:num w:numId="5">
    <w:abstractNumId w:val="5"/>
  </w:num>
  <w:num w:numId="6">
    <w:abstractNumId w:val="0"/>
  </w:num>
  <w:num w:numId="7">
    <w:abstractNumId w:val="9"/>
  </w:num>
  <w:num w:numId="8">
    <w:abstractNumId w:val="11"/>
  </w:num>
  <w:num w:numId="9">
    <w:abstractNumId w:val="8"/>
  </w:num>
  <w:num w:numId="10">
    <w:abstractNumId w:val="7"/>
  </w:num>
  <w:num w:numId="11">
    <w:abstractNumId w:val="6"/>
  </w:num>
  <w:num w:numId="12">
    <w:abstractNumId w:val="1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800"/>
  <w:displayHorizontalDrawingGridEvery w:val="0"/>
  <w:displayVerticalDrawingGridEvery w:val="2"/>
  <w:noPunctuationKerning/>
  <w:characterSpacingControl w:val="doNotCompress"/>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171"/>
    <w:rsid w:val="00983171"/>
    <w:rsid w:val="00E853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2D0090-8298-4761-824D-5C182333C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3171"/>
    <w:pPr>
      <w:spacing w:after="0" w:line="240" w:lineRule="auto"/>
      <w:jc w:val="left"/>
    </w:pPr>
    <w:rPr>
      <w:rFonts w:ascii="Times New Roman" w:eastAsia="맑은 고딕" w:hAnsi="Times New Roman" w:cs="Times New Roman"/>
      <w:kern w:val="0"/>
      <w:sz w:val="22"/>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
    <w:link w:val="1Char"/>
    <w:uiPriority w:val="9"/>
    <w:qFormat/>
    <w:rsid w:val="00983171"/>
    <w:pPr>
      <w:keepNext/>
      <w:keepLines/>
      <w:numPr>
        <w:numId w:val="2"/>
      </w:numPr>
      <w:tabs>
        <w:tab w:val="num" w:pos="0"/>
        <w:tab w:val="left" w:pos="426"/>
      </w:tabs>
      <w:overflowPunct w:val="0"/>
      <w:autoSpaceDE w:val="0"/>
      <w:autoSpaceDN w:val="0"/>
      <w:adjustRightInd w:val="0"/>
      <w:spacing w:before="360" w:after="120" w:line="288" w:lineRule="auto"/>
      <w:ind w:left="799" w:hanging="799"/>
      <w:jc w:val="left"/>
      <w:textAlignment w:val="baseline"/>
      <w:outlineLvl w:val="0"/>
    </w:pPr>
    <w:rPr>
      <w:rFonts w:ascii="Arial" w:eastAsia="바탕" w:hAnsi="Arial" w:cs="Times New Roman"/>
      <w:kern w:val="0"/>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
    <w:link w:val="2Char"/>
    <w:qFormat/>
    <w:rsid w:val="00983171"/>
    <w:pPr>
      <w:numPr>
        <w:ilvl w:val="1"/>
        <w:numId w:val="1"/>
      </w:numPr>
      <w:tabs>
        <w:tab w:val="clear" w:pos="426"/>
      </w:tabs>
      <w:spacing w:before="180"/>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uiPriority w:val="9"/>
    <w:rsid w:val="00983171"/>
    <w:rPr>
      <w:rFonts w:ascii="Arial" w:eastAsia="바탕" w:hAnsi="Arial" w:cs="Times New Roman"/>
      <w:kern w:val="0"/>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basedOn w:val="a0"/>
    <w:link w:val="2"/>
    <w:rsid w:val="00983171"/>
    <w:rPr>
      <w:rFonts w:ascii="Arial" w:eastAsia="바탕" w:hAnsi="Arial" w:cs="Times New Roman"/>
      <w:kern w:val="0"/>
      <w:sz w:val="24"/>
      <w:szCs w:val="32"/>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983171"/>
    <w:pPr>
      <w:widowControl w:val="0"/>
      <w:spacing w:after="0" w:line="240" w:lineRule="auto"/>
      <w:jc w:val="left"/>
    </w:pPr>
    <w:rPr>
      <w:rFonts w:ascii="Arial" w:eastAsia="맑은 고딕" w:hAnsi="Arial" w:cs="Times New Roman"/>
      <w:b/>
      <w:noProof/>
      <w:kern w:val="0"/>
      <w:sz w:val="18"/>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983171"/>
    <w:rPr>
      <w:rFonts w:ascii="Arial" w:eastAsia="맑은 고딕" w:hAnsi="Arial" w:cs="Times New Roman"/>
      <w:b/>
      <w:noProof/>
      <w:kern w:val="0"/>
      <w:sz w:val="18"/>
      <w:szCs w:val="20"/>
      <w:lang w:val="en-GB" w:eastAsia="en-US"/>
    </w:rPr>
  </w:style>
  <w:style w:type="table" w:styleId="a4">
    <w:name w:val="Table Grid"/>
    <w:basedOn w:val="a1"/>
    <w:uiPriority w:val="39"/>
    <w:qFormat/>
    <w:rsid w:val="00983171"/>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222">
    <w:name w:val="스타일 스타일 스타일 스타일 양쪽 첫 줄:  2 글자 + 첫 줄:  2 글자 + 첫 줄:  2 글자 + 첫 줄:  2..."/>
    <w:basedOn w:val="a"/>
    <w:link w:val="2222Char"/>
    <w:rsid w:val="00983171"/>
    <w:pPr>
      <w:spacing w:line="336" w:lineRule="auto"/>
      <w:ind w:firstLineChars="200" w:firstLine="200"/>
      <w:jc w:val="both"/>
    </w:pPr>
    <w:rPr>
      <w:rFonts w:cs="바탕"/>
    </w:rPr>
  </w:style>
  <w:style w:type="character" w:customStyle="1" w:styleId="2222Char">
    <w:name w:val="스타일 스타일 스타일 스타일 양쪽 첫 줄:  2 글자 + 첫 줄:  2 글자 + 첫 줄:  2 글자 + 첫 줄:  2... Char"/>
    <w:basedOn w:val="a0"/>
    <w:link w:val="2222"/>
    <w:rsid w:val="00983171"/>
    <w:rPr>
      <w:rFonts w:ascii="Times New Roman" w:eastAsia="맑은 고딕" w:hAnsi="Times New Roman" w:cs="바탕"/>
      <w:kern w:val="0"/>
      <w:sz w:val="22"/>
      <w:szCs w:val="20"/>
      <w:lang w:val="en-GB" w:eastAsia="en-US"/>
    </w:rPr>
  </w:style>
  <w:style w:type="paragraph" w:customStyle="1" w:styleId="01Section1">
    <w:name w:val="01 Section1"/>
    <w:basedOn w:val="1"/>
    <w:link w:val="01Section1Char"/>
    <w:qFormat/>
    <w:rsid w:val="00983171"/>
    <w:pPr>
      <w:spacing w:before="240" w:after="60"/>
      <w:jc w:val="both"/>
    </w:pPr>
  </w:style>
  <w:style w:type="character" w:customStyle="1" w:styleId="01Section1Char">
    <w:name w:val="01 Section1 Char"/>
    <w:basedOn w:val="1Char"/>
    <w:link w:val="01Section1"/>
    <w:rsid w:val="00983171"/>
    <w:rPr>
      <w:rFonts w:ascii="Arial" w:eastAsia="바탕" w:hAnsi="Arial" w:cs="Times New Roman"/>
      <w:kern w:val="0"/>
      <w:sz w:val="32"/>
      <w:szCs w:val="32"/>
      <w:lang w:val="en-GB"/>
    </w:rPr>
  </w:style>
  <w:style w:type="paragraph" w:customStyle="1" w:styleId="0Maintext">
    <w:name w:val="0 Main text"/>
    <w:basedOn w:val="a"/>
    <w:link w:val="0MaintextChar"/>
    <w:qFormat/>
    <w:rsid w:val="00983171"/>
    <w:pPr>
      <w:spacing w:after="100" w:afterAutospacing="1" w:line="288" w:lineRule="auto"/>
      <w:ind w:firstLine="360"/>
      <w:jc w:val="both"/>
    </w:pPr>
    <w:rPr>
      <w:rFonts w:cs="바탕"/>
      <w:sz w:val="20"/>
    </w:rPr>
  </w:style>
  <w:style w:type="character" w:customStyle="1" w:styleId="0MaintextChar">
    <w:name w:val="0 Main text Char"/>
    <w:basedOn w:val="a0"/>
    <w:link w:val="0Maintext"/>
    <w:rsid w:val="00983171"/>
    <w:rPr>
      <w:rFonts w:ascii="Times New Roman" w:eastAsia="맑은 고딕" w:hAnsi="Times New Roman" w:cs="바탕"/>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eader" Target="header1.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2921</Words>
  <Characters>16652</Characters>
  <Application>Microsoft Office Word</Application>
  <DocSecurity>0</DocSecurity>
  <Lines>138</Lines>
  <Paragraphs>39</Paragraphs>
  <ScaleCrop>false</ScaleCrop>
  <Company/>
  <LinksUpToDate>false</LinksUpToDate>
  <CharactersWithSpaces>19534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cp:revision>
  <dcterms:created xsi:type="dcterms:W3CDTF">2022-11-07T08:50:00Z</dcterms:created>
  <dcterms:modified xsi:type="dcterms:W3CDTF">2022-11-07T08:50:00Z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